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4A099" w14:textId="1B19820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AA57B7">
        <w:t>11</w:t>
      </w:r>
    </w:p>
    <w:p w14:paraId="6B9D6A04" w14:textId="481073D0" w:rsidR="00AD0C7B" w:rsidRDefault="00933A5E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0C9D271A" w:rsidR="006A2C59" w:rsidRDefault="00933A5E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A57B7">
            <w:t>„</w:t>
          </w:r>
          <w:r w:rsidR="00AA57B7" w:rsidRPr="00AA57B7">
            <w:t>Rekonstrukce železničních mostů pod Vyšehradem</w:t>
          </w:r>
          <w:r w:rsidR="00AA57B7">
            <w:t>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2380AC1B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6FA845A0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</w:t>
      </w:r>
      <w:proofErr w:type="spellStart"/>
      <w:r w:rsidRPr="00607DD2">
        <w:rPr>
          <w:b/>
        </w:rPr>
        <w:t>sDiMS</w:t>
      </w:r>
      <w:proofErr w:type="spellEnd"/>
      <w:r w:rsidRPr="00607DD2">
        <w:rPr>
          <w:b/>
        </w:rPr>
        <w:t>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lastRenderedPageBreak/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>
      <w:bookmarkStart w:id="25" w:name="_GoBack"/>
      <w:bookmarkEnd w:id="25"/>
    </w:p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1FE03" w14:textId="77777777" w:rsidR="00933A5E" w:rsidRDefault="00933A5E" w:rsidP="00962258">
      <w:r>
        <w:separator/>
      </w:r>
    </w:p>
  </w:endnote>
  <w:endnote w:type="continuationSeparator" w:id="0">
    <w:p w14:paraId="79EED3F3" w14:textId="77777777" w:rsidR="00933A5E" w:rsidRDefault="00933A5E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747ABF4A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A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F5A1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649D3DB" w:rsidR="00672111" w:rsidRPr="003462EB" w:rsidRDefault="00933A5E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A57B7">
                <w:t>„Rekonstrukce železničních mostů pod Vyšehradem“</w:t>
              </w:r>
            </w:sdtContent>
          </w:sdt>
        </w:p>
        <w:p w14:paraId="60D715BD" w14:textId="27FCF652" w:rsidR="00672111" w:rsidRPr="00B435A5" w:rsidRDefault="00933A5E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EB7D9F8" w:rsidR="00813B53" w:rsidRPr="00661092" w:rsidRDefault="00933A5E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A57B7">
                <w:rPr>
                  <w:szCs w:val="12"/>
                </w:rPr>
                <w:t>„Rekonstrukce železničních mostů pod Vyšehradem“</w:t>
              </w:r>
            </w:sdtContent>
          </w:sdt>
        </w:p>
        <w:p w14:paraId="2F397256" w14:textId="6BC08131" w:rsidR="00813B53" w:rsidRPr="003462EB" w:rsidRDefault="00933A5E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1EE97E2C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A1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F5A1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EA8A" w14:textId="0F68F7D3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B02304">
      <w:rPr>
        <w:sz w:val="22"/>
        <w:szCs w:val="22"/>
      </w:rPr>
      <w:t>Datum vydání:</w:t>
    </w:r>
    <w:r w:rsidRPr="00B02304">
      <w:rPr>
        <w:sz w:val="22"/>
        <w:szCs w:val="22"/>
      </w:rPr>
      <w:tab/>
    </w:r>
    <w:proofErr w:type="gramStart"/>
    <w:r w:rsidR="003F5A10">
      <w:rPr>
        <w:sz w:val="22"/>
        <w:szCs w:val="22"/>
      </w:rPr>
      <w:t>27</w:t>
    </w:r>
    <w:r w:rsidR="003D782E" w:rsidRPr="00B02304">
      <w:rPr>
        <w:sz w:val="22"/>
        <w:szCs w:val="22"/>
      </w:rPr>
      <w:t>.</w:t>
    </w:r>
    <w:r w:rsidR="00B02304" w:rsidRPr="00B02304">
      <w:rPr>
        <w:sz w:val="22"/>
        <w:szCs w:val="22"/>
      </w:rPr>
      <w:t>0</w:t>
    </w:r>
    <w:r w:rsidR="003F5A10">
      <w:rPr>
        <w:sz w:val="22"/>
        <w:szCs w:val="22"/>
      </w:rPr>
      <w:t>2</w:t>
    </w:r>
    <w:r w:rsidR="003D782E" w:rsidRPr="00B02304">
      <w:rPr>
        <w:sz w:val="22"/>
        <w:szCs w:val="22"/>
      </w:rPr>
      <w:t>.</w:t>
    </w:r>
    <w:r w:rsidR="00B02304" w:rsidRPr="00B02304">
      <w:rPr>
        <w:sz w:val="22"/>
        <w:szCs w:val="22"/>
      </w:rPr>
      <w:t>2024</w:t>
    </w:r>
    <w:proofErr w:type="gramEnd"/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EA215" w14:textId="77777777" w:rsidR="00933A5E" w:rsidRDefault="00933A5E" w:rsidP="00962258">
      <w:r>
        <w:separator/>
      </w:r>
    </w:p>
  </w:footnote>
  <w:footnote w:type="continuationSeparator" w:id="0">
    <w:p w14:paraId="234A3DDF" w14:textId="77777777" w:rsidR="00933A5E" w:rsidRDefault="00933A5E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1" name="Obrázek 1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8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A10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3A5E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57B7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304"/>
    <w:rsid w:val="00B02F73"/>
    <w:rsid w:val="00B0619F"/>
    <w:rsid w:val="00B101FD"/>
    <w:rsid w:val="00B10FB7"/>
    <w:rsid w:val="00B13A26"/>
    <w:rsid w:val="00B15D0D"/>
    <w:rsid w:val="00B22106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13860"/>
    <w:rsid w:val="00C21613"/>
    <w:rsid w:val="00C226C0"/>
    <w:rsid w:val="00C23DA2"/>
    <w:rsid w:val="00C24A6A"/>
    <w:rsid w:val="00C254E3"/>
    <w:rsid w:val="00C300A6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46F8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3EE4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1D65D1"/>
    <w:rsid w:val="001E3B73"/>
    <w:rsid w:val="001F4C31"/>
    <w:rsid w:val="002513EE"/>
    <w:rsid w:val="002622DA"/>
    <w:rsid w:val="0026452D"/>
    <w:rsid w:val="002C665E"/>
    <w:rsid w:val="002D39D2"/>
    <w:rsid w:val="00354C9C"/>
    <w:rsid w:val="00355726"/>
    <w:rsid w:val="00376087"/>
    <w:rsid w:val="003D6D5C"/>
    <w:rsid w:val="00454EDE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6F4B4C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E2FC3-55F8-4429-8AFF-3ECDDC13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2479</Words>
  <Characters>14631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„Rekonstrukce železničních mostů pod Vyšehradem“</dc:subject>
  <dc:creator>Správa železnic</dc:creator>
  <cp:keywords>2023-12</cp:keywords>
  <cp:lastModifiedBy>Salavová Mariana, Ing.</cp:lastModifiedBy>
  <cp:revision>4</cp:revision>
  <cp:lastPrinted>2019-12-06T06:14:00Z</cp:lastPrinted>
  <dcterms:created xsi:type="dcterms:W3CDTF">2024-01-22T16:43:00Z</dcterms:created>
  <dcterms:modified xsi:type="dcterms:W3CDTF">2024-02-27T17:51:00Z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