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52C24D80" w:rsidR="00F862D6" w:rsidRPr="001A6F12" w:rsidRDefault="006F0A60" w:rsidP="0037111D">
            <w:pPr>
              <w:rPr>
                <w:szCs w:val="14"/>
              </w:rPr>
            </w:pPr>
            <w:bookmarkStart w:id="0" w:name="_Hlk166483902"/>
            <w:r w:rsidRPr="006F0A60">
              <w:rPr>
                <w:szCs w:val="14"/>
              </w:rPr>
              <w:t>5087/2024-SŽ-SSV-Ú3</w:t>
            </w:r>
            <w:bookmarkEnd w:id="0"/>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39EF0AF6" w:rsidR="00F862D6" w:rsidRPr="001A6F12" w:rsidRDefault="00786FD3" w:rsidP="00CC1E2B">
            <w:pPr>
              <w:rPr>
                <w:szCs w:val="14"/>
              </w:rPr>
            </w:pPr>
            <w:r>
              <w:rPr>
                <w:szCs w:val="14"/>
              </w:rPr>
              <w:t>16</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257B8B47" w:rsidR="00F862D6" w:rsidRPr="001A6F12" w:rsidRDefault="00A82B57" w:rsidP="00FE3455">
            <w:pPr>
              <w:rPr>
                <w:szCs w:val="14"/>
              </w:rPr>
            </w:pPr>
            <w:r>
              <w:rPr>
                <w:szCs w:val="14"/>
              </w:rPr>
              <w:t>Ing. Magdaléna Holá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55668806" w:rsidR="009A7568" w:rsidRPr="001A6F12" w:rsidRDefault="00A82B57" w:rsidP="009A7568">
            <w:pPr>
              <w:rPr>
                <w:szCs w:val="14"/>
              </w:rPr>
            </w:pPr>
            <w:r>
              <w:rPr>
                <w:szCs w:val="14"/>
              </w:rPr>
              <w:t>+420 724 932 387</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77719061" w:rsidR="009A7568" w:rsidRPr="001A6F12" w:rsidRDefault="00A82B57" w:rsidP="006104F6">
            <w:pPr>
              <w:rPr>
                <w:szCs w:val="14"/>
              </w:rPr>
            </w:pPr>
            <w:r>
              <w:rPr>
                <w:szCs w:val="14"/>
              </w:rPr>
              <w:t>holam@spravazeleznic.cz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1" w:name="Datum"/>
        <w:tc>
          <w:tcPr>
            <w:tcW w:w="2552" w:type="dxa"/>
          </w:tcPr>
          <w:p w14:paraId="123ECF93" w14:textId="26FBAAEC"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786FD3">
              <w:rPr>
                <w:noProof/>
                <w:szCs w:val="14"/>
              </w:rPr>
              <w:t>13. května 2024</w:t>
            </w:r>
            <w:r w:rsidRPr="001A6F12">
              <w:rPr>
                <w:szCs w:val="14"/>
              </w:rPr>
              <w:fldChar w:fldCharType="end"/>
            </w:r>
            <w:r w:rsidRPr="001A6F12">
              <w:rPr>
                <w:szCs w:val="14"/>
              </w:rPr>
              <w:t xml:space="preserve"> </w:t>
            </w:r>
            <w:bookmarkEnd w:id="1"/>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777BDE51" w14:textId="29AB507C"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A82B57">
        <w:rPr>
          <w:rFonts w:eastAsia="Times New Roman" w:cs="Times New Roman"/>
          <w:b/>
          <w:lang w:eastAsia="cs-CZ"/>
        </w:rPr>
        <w:t>„</w:t>
      </w:r>
      <w:bookmarkStart w:id="2" w:name="_Hlk166151011"/>
      <w:r w:rsidR="00A82B57" w:rsidRPr="00A82B57">
        <w:rPr>
          <w:rFonts w:eastAsia="Times New Roman" w:cs="Arial"/>
          <w:b/>
          <w:lang w:eastAsia="cs-CZ"/>
        </w:rPr>
        <w:t>Rekonstrukce zastávky Lipová Lázně zastávka</w:t>
      </w:r>
      <w:bookmarkEnd w:id="2"/>
      <w:r w:rsidR="00A82B57" w:rsidRPr="003875D7">
        <w:rPr>
          <w:rFonts w:eastAsia="Times New Roman" w:cs="Arial"/>
          <w:b/>
          <w:bCs/>
          <w:lang w:eastAsia="cs-CZ"/>
        </w:rPr>
        <w:t>“</w:t>
      </w:r>
      <w:r w:rsidR="003875D7" w:rsidRPr="003875D7">
        <w:rPr>
          <w:rFonts w:eastAsia="Times New Roman" w:cs="Arial"/>
          <w:b/>
          <w:bCs/>
          <w:lang w:eastAsia="cs-CZ"/>
        </w:rPr>
        <w:t>-BOZP</w:t>
      </w:r>
      <w:r w:rsidR="00A82B57" w:rsidRPr="00A82B57">
        <w:rPr>
          <w:rFonts w:eastAsia="Times New Roman" w:cs="Arial"/>
          <w:lang w:eastAsia="cs-CZ"/>
        </w:rPr>
        <w:t xml:space="preserve"> </w:t>
      </w: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855587">
        <w:rPr>
          <w:rFonts w:eastAsia="Times New Roman" w:cs="Arial"/>
          <w:lang w:eastAsia="cs-CZ"/>
        </w:rPr>
        <w:t>61724106)</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5B66E57E" w:rsidR="001A6F12" w:rsidRPr="00A82B57" w:rsidRDefault="00F44F4D" w:rsidP="00A82B57">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A82B57" w:rsidRPr="00A82B57">
        <w:rPr>
          <w:rFonts w:ascii="Verdana" w:eastAsia="Times New Roman" w:hAnsi="Verdana" w:cs="Arial"/>
          <w:lang w:eastAsia="cs-CZ"/>
        </w:rPr>
        <w:t>Ing. Magdaléna Holá</w:t>
      </w:r>
      <w:r w:rsidRPr="007A2402">
        <w:rPr>
          <w:rFonts w:ascii="Verdana" w:eastAsia="Times New Roman" w:hAnsi="Verdana" w:cs="Times New Roman"/>
          <w:lang w:eastAsia="cs-CZ"/>
        </w:rPr>
        <w:t xml:space="preserve">, telefon: </w:t>
      </w:r>
      <w:r w:rsidR="00A82B57">
        <w:rPr>
          <w:rFonts w:ascii="Verdana" w:eastAsia="Times New Roman" w:hAnsi="Verdana" w:cs="Arial"/>
          <w:lang w:eastAsia="cs-CZ"/>
        </w:rPr>
        <w:t>+420 724 932 387</w:t>
      </w:r>
      <w:r w:rsidRPr="007A2402">
        <w:rPr>
          <w:rFonts w:ascii="Verdana" w:eastAsia="Times New Roman" w:hAnsi="Verdana" w:cs="Times New Roman"/>
          <w:lang w:eastAsia="cs-CZ"/>
        </w:rPr>
        <w:t>, e-mail:</w:t>
      </w:r>
      <w:r w:rsidR="00A82B57">
        <w:rPr>
          <w:rFonts w:ascii="Verdana" w:eastAsia="Times New Roman" w:hAnsi="Verdana" w:cs="Times New Roman"/>
          <w:lang w:eastAsia="cs-CZ"/>
        </w:rPr>
        <w:t xml:space="preserve"> 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45301CE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006062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w:t>
      </w:r>
      <w:r w:rsidRPr="00A82B57">
        <w:rPr>
          <w:rFonts w:eastAsia="Times New Roman" w:cs="Times New Roman"/>
          <w:color w:val="000000"/>
          <w:lang w:eastAsia="cs-CZ"/>
        </w:rPr>
        <w:t>čin</w:t>
      </w:r>
      <w:r w:rsidRPr="00A82B57">
        <w:rPr>
          <w:rFonts w:eastAsia="Times New Roman" w:cs="Times New Roman"/>
          <w:lang w:eastAsia="cs-CZ"/>
        </w:rPr>
        <w:t xml:space="preserve">í </w:t>
      </w:r>
      <w:r w:rsidR="00A82B57" w:rsidRPr="00A82B57">
        <w:rPr>
          <w:rFonts w:eastAsia="Times New Roman" w:cs="Arial"/>
          <w:b/>
          <w:lang w:eastAsia="cs-CZ"/>
        </w:rPr>
        <w:t>140 000,-</w:t>
      </w:r>
      <w:r w:rsidRPr="00A82B57">
        <w:rPr>
          <w:rFonts w:eastAsia="Times New Roman" w:cs="Times New Roman"/>
          <w:b/>
          <w:lang w:eastAsia="cs-CZ"/>
        </w:rPr>
        <w:t xml:space="preserve"> Kč</w:t>
      </w:r>
      <w:r w:rsidRPr="00A82B57">
        <w:rPr>
          <w:rFonts w:eastAsia="Times New Roman" w:cs="Times New Roman"/>
          <w:lang w:eastAsia="cs-CZ"/>
        </w:rPr>
        <w:t xml:space="preserve"> bez</w:t>
      </w:r>
      <w:r w:rsidRPr="001A6F12">
        <w:rPr>
          <w:rFonts w:eastAsia="Times New Roman" w:cs="Times New Roman"/>
          <w:lang w:eastAsia="cs-CZ"/>
        </w:rPr>
        <w:t xml:space="preserve">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439E0DE5" w14:textId="22F9738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CA7E8E" w:rsidRPr="001A6F12">
        <w:rPr>
          <w:rFonts w:eastAsia="Times New Roman" w:cs="Times New Roman"/>
          <w:b/>
          <w:lang w:eastAsia="cs-CZ"/>
        </w:rPr>
        <w:t>„</w:t>
      </w:r>
      <w:r w:rsidR="00A82B57" w:rsidRPr="00A82B57">
        <w:rPr>
          <w:rFonts w:eastAsia="Times New Roman" w:cs="Arial"/>
          <w:b/>
          <w:bCs/>
          <w:lang w:eastAsia="cs-CZ"/>
        </w:rPr>
        <w:t>Rekonstrukce zastávky Lipová Lázně zastávka</w:t>
      </w:r>
      <w:r w:rsidR="00CA7E8E" w:rsidRPr="00A82B57">
        <w:rPr>
          <w:rFonts w:eastAsia="Times New Roman" w:cs="Times New Roman"/>
          <w:b/>
          <w:bCs/>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Pr="001A6F12" w:rsidRDefault="001A6F12" w:rsidP="001A6F12">
      <w:pPr>
        <w:spacing w:after="0" w:line="240" w:lineRule="auto"/>
        <w:ind w:left="426"/>
        <w:jc w:val="both"/>
        <w:rPr>
          <w:rFonts w:eastAsia="Times New Roman" w:cs="Times New Roman"/>
          <w:lang w:eastAsia="cs-CZ"/>
        </w:rPr>
      </w:pP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A82B57" w:rsidRDefault="001A6F12" w:rsidP="001A6F12">
      <w:pPr>
        <w:spacing w:after="0" w:line="240" w:lineRule="auto"/>
        <w:ind w:left="426"/>
        <w:jc w:val="both"/>
        <w:rPr>
          <w:rFonts w:eastAsia="Times New Roman" w:cs="Times New Roman"/>
          <w:lang w:eastAsia="cs-CZ"/>
        </w:rPr>
      </w:pPr>
      <w:r w:rsidRPr="00A82B57">
        <w:rPr>
          <w:rFonts w:eastAsia="Times New Roman" w:cs="Times New Roman"/>
          <w:lang w:eastAsia="cs-CZ"/>
        </w:rPr>
        <w:t>Zadávací dokumentace obsahuje následující dokumenty:</w:t>
      </w:r>
    </w:p>
    <w:p w14:paraId="5E1197FA" w14:textId="77777777" w:rsidR="001A6F12" w:rsidRPr="00A82B57" w:rsidRDefault="001A6F12" w:rsidP="001A6F12">
      <w:pPr>
        <w:spacing w:after="0" w:line="240" w:lineRule="auto"/>
        <w:ind w:left="426"/>
        <w:jc w:val="both"/>
        <w:rPr>
          <w:rFonts w:eastAsia="Times New Roman" w:cs="Times New Roman"/>
          <w:lang w:eastAsia="cs-CZ"/>
        </w:rPr>
      </w:pPr>
    </w:p>
    <w:p w14:paraId="64003A0B" w14:textId="3A2A31A2" w:rsidR="001A6F12" w:rsidRPr="00A82B57" w:rsidRDefault="001A6F12" w:rsidP="001A6F12">
      <w:pPr>
        <w:numPr>
          <w:ilvl w:val="0"/>
          <w:numId w:val="8"/>
        </w:numPr>
        <w:spacing w:after="0" w:line="240" w:lineRule="auto"/>
        <w:ind w:left="709" w:hanging="283"/>
        <w:rPr>
          <w:rFonts w:eastAsia="Times New Roman" w:cs="Times New Roman"/>
          <w:lang w:eastAsia="cs-CZ"/>
        </w:rPr>
      </w:pPr>
      <w:r w:rsidRPr="00A82B57">
        <w:rPr>
          <w:rFonts w:eastAsia="Times New Roman" w:cs="Times New Roman"/>
          <w:lang w:eastAsia="cs-CZ"/>
        </w:rPr>
        <w:t xml:space="preserve">Výzva k podání nabídky č. j. </w:t>
      </w:r>
      <w:r w:rsidR="00786FD3" w:rsidRPr="00786FD3">
        <w:rPr>
          <w:rFonts w:eastAsia="Times New Roman" w:cs="Arial"/>
          <w:lang w:eastAsia="cs-CZ"/>
        </w:rPr>
        <w:t>5087/2024-SŽ-SSV-Ú3</w:t>
      </w:r>
      <w:r w:rsidR="00786FD3" w:rsidRPr="00786FD3">
        <w:rPr>
          <w:rFonts w:eastAsia="Times New Roman" w:cs="Arial"/>
          <w:lang w:eastAsia="cs-CZ"/>
        </w:rPr>
        <w:t xml:space="preserve"> </w:t>
      </w:r>
      <w:r w:rsidRPr="00A82B57">
        <w:rPr>
          <w:rFonts w:eastAsia="Times New Roman" w:cs="Times New Roman"/>
          <w:lang w:val="en-US" w:eastAsia="cs-CZ"/>
        </w:rPr>
        <w:t>(</w:t>
      </w:r>
      <w:proofErr w:type="spellStart"/>
      <w:r w:rsidRPr="00A82B57">
        <w:rPr>
          <w:rFonts w:eastAsia="Times New Roman" w:cs="Times New Roman"/>
          <w:lang w:val="en-US" w:eastAsia="cs-CZ"/>
        </w:rPr>
        <w:t>dále</w:t>
      </w:r>
      <w:proofErr w:type="spellEnd"/>
      <w:r w:rsidRPr="00A82B57">
        <w:rPr>
          <w:rFonts w:eastAsia="Times New Roman" w:cs="Times New Roman"/>
          <w:lang w:val="en-US" w:eastAsia="cs-CZ"/>
        </w:rPr>
        <w:t xml:space="preserve"> </w:t>
      </w:r>
      <w:proofErr w:type="spellStart"/>
      <w:r w:rsidRPr="00A82B57">
        <w:rPr>
          <w:rFonts w:eastAsia="Times New Roman" w:cs="Times New Roman"/>
          <w:lang w:val="en-US" w:eastAsia="cs-CZ"/>
        </w:rPr>
        <w:t>jen</w:t>
      </w:r>
      <w:proofErr w:type="spellEnd"/>
      <w:r w:rsidRPr="00A82B57">
        <w:rPr>
          <w:rFonts w:eastAsia="Times New Roman" w:cs="Times New Roman"/>
          <w:lang w:val="en-US" w:eastAsia="cs-CZ"/>
        </w:rPr>
        <w:t xml:space="preserve"> “</w:t>
      </w:r>
      <w:proofErr w:type="spellStart"/>
      <w:r w:rsidRPr="00A82B57">
        <w:rPr>
          <w:rFonts w:eastAsia="Times New Roman" w:cs="Times New Roman"/>
          <w:lang w:val="en-US" w:eastAsia="cs-CZ"/>
        </w:rPr>
        <w:t>Výzva</w:t>
      </w:r>
      <w:proofErr w:type="spellEnd"/>
      <w:r w:rsidRPr="00A82B57">
        <w:rPr>
          <w:rFonts w:eastAsia="Times New Roman" w:cs="Times New Roman"/>
          <w:lang w:val="en-US" w:eastAsia="cs-CZ"/>
        </w:rPr>
        <w:t xml:space="preserve">”), </w:t>
      </w:r>
    </w:p>
    <w:p w14:paraId="77BFAB3C" w14:textId="77777777" w:rsidR="001A6F12" w:rsidRPr="00A82B57" w:rsidRDefault="001A6F12" w:rsidP="001A6F12">
      <w:pPr>
        <w:numPr>
          <w:ilvl w:val="0"/>
          <w:numId w:val="8"/>
        </w:numPr>
        <w:spacing w:after="0" w:line="240" w:lineRule="auto"/>
        <w:ind w:left="709" w:hanging="283"/>
        <w:rPr>
          <w:rFonts w:eastAsia="Times New Roman" w:cs="Times New Roman"/>
          <w:lang w:eastAsia="cs-CZ"/>
        </w:rPr>
      </w:pPr>
      <w:r w:rsidRPr="00A82B57">
        <w:rPr>
          <w:rFonts w:eastAsia="Times New Roman" w:cs="Times New Roman"/>
          <w:lang w:eastAsia="cs-CZ"/>
        </w:rPr>
        <w:t xml:space="preserve">Závazný vzor Smlouvy o </w:t>
      </w:r>
      <w:r w:rsidR="007A566E" w:rsidRPr="00A82B57">
        <w:rPr>
          <w:rFonts w:eastAsia="Times New Roman" w:cs="Times New Roman"/>
          <w:lang w:eastAsia="cs-CZ"/>
        </w:rPr>
        <w:t xml:space="preserve">dílo na </w:t>
      </w:r>
      <w:r w:rsidRPr="00A82B57">
        <w:rPr>
          <w:rFonts w:eastAsia="Times New Roman" w:cs="Times New Roman"/>
          <w:lang w:eastAsia="cs-CZ"/>
        </w:rPr>
        <w:t>výkon činnosti koordinátora bezpečnosti a ochrany zdraví při práci na staveništi ve fázi realizace stavby,</w:t>
      </w:r>
    </w:p>
    <w:p w14:paraId="0F190493" w14:textId="5327EA2E" w:rsidR="001A6F12" w:rsidRPr="00A82B57" w:rsidRDefault="00F44F4D" w:rsidP="001A6F12">
      <w:pPr>
        <w:numPr>
          <w:ilvl w:val="0"/>
          <w:numId w:val="8"/>
        </w:numPr>
        <w:spacing w:after="0" w:line="240" w:lineRule="auto"/>
        <w:ind w:left="709" w:hanging="283"/>
        <w:rPr>
          <w:rFonts w:eastAsia="Times New Roman" w:cs="Times New Roman"/>
          <w:lang w:eastAsia="cs-CZ"/>
        </w:rPr>
      </w:pPr>
      <w:r w:rsidRPr="00A82B57">
        <w:rPr>
          <w:rFonts w:eastAsia="Times New Roman" w:cs="Times New Roman"/>
          <w:lang w:eastAsia="cs-CZ"/>
        </w:rPr>
        <w:t xml:space="preserve">Projektová dokumentace (pouze části, týkající se BOZP): zpracovaná </w:t>
      </w:r>
      <w:proofErr w:type="spellStart"/>
      <w:r w:rsidR="00A82B57" w:rsidRPr="00A82B57">
        <w:rPr>
          <w:rFonts w:eastAsia="Times New Roman" w:cs="Arial"/>
          <w:lang w:eastAsia="cs-CZ"/>
        </w:rPr>
        <w:t>EXprojekt</w:t>
      </w:r>
      <w:proofErr w:type="spellEnd"/>
      <w:r w:rsidR="00A82B57" w:rsidRPr="00A82B57">
        <w:rPr>
          <w:rFonts w:eastAsia="Times New Roman" w:cs="Arial"/>
          <w:lang w:eastAsia="cs-CZ"/>
        </w:rPr>
        <w:t xml:space="preserve"> s.r.o., se sídlem Heršpická 758/13, 619 00 Brno, IČO: 29285801, z 3. 1. 2022.</w:t>
      </w:r>
    </w:p>
    <w:p w14:paraId="4DD144E8" w14:textId="77777777" w:rsidR="001A6F12" w:rsidRPr="001A6F12" w:rsidRDefault="001A6F12" w:rsidP="001A6F12">
      <w:pPr>
        <w:spacing w:after="0" w:line="240" w:lineRule="auto"/>
        <w:ind w:left="426"/>
        <w:rPr>
          <w:rFonts w:eastAsia="Times New Roman" w:cs="Times New Roman"/>
          <w:lang w:eastAsia="cs-CZ"/>
        </w:rPr>
      </w:pP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1080A12" w:rsidR="001A6F12" w:rsidRPr="003875D7"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3875D7">
        <w:rPr>
          <w:rFonts w:eastAsia="Times New Roman" w:cs="Times New Roman"/>
          <w:lang w:eastAsia="cs-CZ"/>
        </w:rPr>
        <w:t>bezodkladně po nabytí účinnosti smlouvy o výkonu činnosti koordinátora bezpečnosti a ochrany zdraví při práci na staveništi ve fázi realizace předmětné stavby (dále jen „smlouva“)</w:t>
      </w:r>
      <w:r w:rsidR="003875D7" w:rsidRPr="003875D7">
        <w:rPr>
          <w:rFonts w:eastAsia="Times New Roman" w:cs="Times New Roman"/>
          <w:i/>
          <w:color w:val="FF0000"/>
          <w:lang w:eastAsia="cs-CZ"/>
        </w:rPr>
        <w:t>.</w:t>
      </w:r>
    </w:p>
    <w:p w14:paraId="4C952DED" w14:textId="77777777" w:rsidR="001A6F12" w:rsidRPr="003875D7" w:rsidRDefault="001A6F12"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3875D7">
        <w:rPr>
          <w:rFonts w:eastAsia="Times New Roman" w:cs="Times New Roman"/>
          <w:lang w:val="sv-SE" w:eastAsia="cs-CZ"/>
        </w:rPr>
        <w:t xml:space="preserve">Vzhledem ke skutečnosti, že zadavatel není schopen předvídat průběh </w:t>
      </w:r>
      <w:r w:rsidR="00B44847" w:rsidRPr="003875D7">
        <w:rPr>
          <w:rFonts w:eastAsia="Times New Roman" w:cs="Times New Roman"/>
          <w:lang w:val="sv-SE" w:eastAsia="cs-CZ"/>
        </w:rPr>
        <w:t xml:space="preserve">výběrového </w:t>
      </w:r>
      <w:r w:rsidRPr="003875D7">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3875D7">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1583F27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A82B57">
        <w:rPr>
          <w:rFonts w:eastAsia="Times New Roman" w:cs="Arial"/>
          <w:lang w:eastAsia="cs-CZ"/>
        </w:rPr>
        <w:t>7</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w:t>
      </w:r>
      <w:r w:rsidRPr="001A6F12">
        <w:rPr>
          <w:rFonts w:eastAsia="Times New Roman" w:cs="Times New Roman"/>
          <w:lang w:eastAsia="cs-CZ"/>
        </w:rPr>
        <w:lastRenderedPageBreak/>
        <w:t>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w:t>
      </w:r>
      <w:r w:rsidRPr="003875D7">
        <w:rPr>
          <w:rFonts w:eastAsia="Times New Roman" w:cs="Times New Roman"/>
          <w:lang w:eastAsia="cs-CZ"/>
        </w:rPr>
        <w:t xml:space="preserve">podmínky základní způsobilosti požadované zadavatelem splňuje. Čestné prohlášení </w:t>
      </w:r>
      <w:proofErr w:type="gramStart"/>
      <w:r w:rsidRPr="003875D7">
        <w:rPr>
          <w:rFonts w:eastAsia="Times New Roman" w:cs="Times New Roman"/>
          <w:lang w:eastAsia="cs-CZ"/>
        </w:rPr>
        <w:t>tvoří</w:t>
      </w:r>
      <w:proofErr w:type="gramEnd"/>
      <w:r w:rsidRPr="003875D7">
        <w:rPr>
          <w:rFonts w:eastAsia="Times New Roman" w:cs="Times New Roman"/>
          <w:lang w:eastAsia="cs-CZ"/>
        </w:rPr>
        <w:t xml:space="preserve">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4D784CA1"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A82B57" w:rsidRPr="00A82B57">
        <w:rPr>
          <w:rFonts w:eastAsia="Times New Roman" w:cs="Arial"/>
          <w:b/>
          <w:bCs/>
          <w:lang w:eastAsia="cs-CZ"/>
        </w:rPr>
        <w:t>280 000</w:t>
      </w:r>
      <w:r w:rsidRPr="00A82B57">
        <w:rPr>
          <w:rFonts w:eastAsia="Times New Roman" w:cs="Times New Roman"/>
          <w:b/>
          <w:bCs/>
          <w:color w:val="000000"/>
          <w:lang w:val="en-US" w:eastAsia="cs-CZ"/>
        </w:rPr>
        <w:t>,-</w:t>
      </w:r>
      <w:r w:rsidRPr="00A82B57">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A82B57" w:rsidRPr="00A82B57">
        <w:rPr>
          <w:rFonts w:eastAsia="Times New Roman" w:cs="Arial"/>
          <w:b/>
          <w:bCs/>
          <w:lang w:eastAsia="cs-CZ"/>
        </w:rPr>
        <w:t>140 000</w:t>
      </w:r>
      <w:r w:rsidRPr="00A82B57">
        <w:rPr>
          <w:rFonts w:eastAsia="Times New Roman" w:cs="Times New Roman"/>
          <w:b/>
          <w:bCs/>
          <w:color w:val="000000"/>
          <w:lang w:val="en-US" w:eastAsia="cs-CZ"/>
        </w:rPr>
        <w:t>,-</w:t>
      </w:r>
      <w:r w:rsidRPr="00A82B57">
        <w:rPr>
          <w:rFonts w:eastAsia="Times New Roman" w:cs="Times New Roman"/>
          <w:b/>
          <w:bCs/>
          <w:lang w:eastAsia="cs-CZ"/>
        </w:rPr>
        <w:t xml:space="preserve"> </w:t>
      </w:r>
      <w:r w:rsidRPr="00A82B57">
        <w:rPr>
          <w:rFonts w:eastAsia="Times New Roman" w:cs="Times New Roman"/>
          <w:b/>
          <w:bCs/>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lastRenderedPageBreak/>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3875D7">
        <w:rPr>
          <w:rFonts w:eastAsia="Times New Roman" w:cs="Times New Roman"/>
          <w:color w:val="000000"/>
          <w:lang w:eastAsia="cs-CZ"/>
        </w:rPr>
        <w:t>Seznam služeb bude předložen ve formě obsažené v Příloze č. 3 této</w:t>
      </w:r>
      <w:r w:rsidRPr="00AF42F1">
        <w:rPr>
          <w:rFonts w:eastAsia="Times New Roman" w:cs="Times New Roman"/>
          <w:color w:val="000000"/>
          <w:lang w:eastAsia="cs-CZ"/>
        </w:rPr>
        <w:t xml:space="preserve">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1B208A31" w:rsidR="001A6F12" w:rsidRPr="00A82B57"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w:t>
      </w:r>
      <w:r w:rsidRPr="00A82B57">
        <w:rPr>
          <w:rFonts w:eastAsia="Times New Roman" w:cs="Times New Roman"/>
          <w:color w:val="000000"/>
          <w:lang w:eastAsia="cs-CZ"/>
        </w:rPr>
        <w:t xml:space="preserve">má praxi ve výkonu činnosti koordinátora BOZP na </w:t>
      </w:r>
      <w:r w:rsidRPr="00A82B57">
        <w:rPr>
          <w:rFonts w:eastAsia="Times New Roman" w:cs="Times New Roman"/>
          <w:b/>
          <w:color w:val="000000"/>
          <w:lang w:eastAsia="cs-CZ"/>
        </w:rPr>
        <w:t>železničních</w:t>
      </w:r>
      <w:r w:rsidRPr="00A82B57">
        <w:rPr>
          <w:rFonts w:eastAsia="Times New Roman" w:cs="Times New Roman"/>
          <w:color w:val="000000"/>
          <w:lang w:eastAsia="cs-CZ"/>
        </w:rPr>
        <w:t xml:space="preserve"> stavbách minimálně </w:t>
      </w:r>
      <w:r w:rsidR="003A4544" w:rsidRPr="00A82B57">
        <w:rPr>
          <w:rFonts w:eastAsia="Times New Roman" w:cs="Times New Roman"/>
          <w:b/>
          <w:color w:val="000000"/>
          <w:lang w:eastAsia="cs-CZ"/>
        </w:rPr>
        <w:t>2 roky</w:t>
      </w:r>
      <w:r w:rsidR="00CD50C8" w:rsidRPr="00A82B57">
        <w:rPr>
          <w:rFonts w:eastAsia="Times New Roman" w:cs="Times New Roman"/>
          <w:color w:val="000000"/>
          <w:lang w:eastAsia="cs-CZ"/>
        </w:rPr>
        <w:t>;</w:t>
      </w:r>
    </w:p>
    <w:p w14:paraId="533D13C5" w14:textId="05228B81" w:rsidR="001A6F12" w:rsidRPr="00A82B57" w:rsidRDefault="001A6F12" w:rsidP="00220FFF">
      <w:pPr>
        <w:numPr>
          <w:ilvl w:val="0"/>
          <w:numId w:val="18"/>
        </w:numPr>
        <w:spacing w:after="0" w:line="240" w:lineRule="auto"/>
        <w:ind w:left="1985" w:right="23"/>
        <w:jc w:val="both"/>
        <w:rPr>
          <w:rFonts w:eastAsia="Times New Roman" w:cs="Times New Roman"/>
          <w:color w:val="000000"/>
          <w:lang w:eastAsia="cs-CZ"/>
        </w:rPr>
      </w:pPr>
      <w:r w:rsidRPr="00A82B57">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82B57" w:rsidRPr="00A82B57">
        <w:rPr>
          <w:rFonts w:eastAsia="Times New Roman" w:cs="Times New Roman"/>
          <w:b/>
          <w:color w:val="000000"/>
          <w:lang w:eastAsia="cs-CZ"/>
        </w:rPr>
        <w:t>2</w:t>
      </w:r>
      <w:r w:rsidR="003A4544" w:rsidRPr="00A82B57">
        <w:rPr>
          <w:rFonts w:eastAsia="Times New Roman" w:cs="Times New Roman"/>
          <w:color w:val="000000"/>
          <w:lang w:eastAsia="cs-CZ"/>
        </w:rPr>
        <w:t xml:space="preserve"> </w:t>
      </w:r>
      <w:r w:rsidR="003A4544" w:rsidRPr="00A82B57">
        <w:rPr>
          <w:rFonts w:eastAsia="Times New Roman" w:cs="Times New Roman"/>
          <w:b/>
          <w:color w:val="000000"/>
          <w:lang w:eastAsia="cs-CZ"/>
        </w:rPr>
        <w:t>rok</w:t>
      </w:r>
      <w:r w:rsidR="00A82B57" w:rsidRPr="00A82B57">
        <w:rPr>
          <w:rFonts w:eastAsia="Times New Roman" w:cs="Times New Roman"/>
          <w:b/>
          <w:color w:val="000000"/>
          <w:lang w:eastAsia="cs-CZ"/>
        </w:rPr>
        <w:t>y</w:t>
      </w:r>
      <w:r w:rsidRPr="00A82B57">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uvedených </w:t>
      </w:r>
      <w:r w:rsidRPr="003875D7">
        <w:t>v Příloze č. 4 této</w:t>
      </w:r>
      <w:r>
        <w:t xml:space="preserve">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lastRenderedPageBreak/>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 xml:space="preserve">čestné prohlášení, jehož součástí bude rovněž i prohlášení, že </w:t>
      </w:r>
      <w:r w:rsidRPr="001A6F12">
        <w:rPr>
          <w:rFonts w:eastAsia="Times New Roman" w:cs="Times New Roman"/>
          <w:lang w:eastAsia="cs-CZ"/>
        </w:rPr>
        <w:lastRenderedPageBreak/>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lastRenderedPageBreak/>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ceny je rozhodující Celková cena Díla bez</w:t>
      </w:r>
      <w:r w:rsidRPr="003875D7">
        <w:rPr>
          <w:rFonts w:eastAsia="Times New Roman" w:cs="Times New Roman"/>
          <w:lang w:eastAsia="cs-CZ"/>
        </w:rPr>
        <w:t xml:space="preserve"> DPH uvedená v </w:t>
      </w:r>
      <w:r w:rsidR="00BE771D" w:rsidRPr="003875D7">
        <w:rPr>
          <w:rFonts w:eastAsia="Times New Roman" w:cs="Times New Roman"/>
          <w:lang w:eastAsia="cs-CZ"/>
        </w:rPr>
        <w:t>čl. 3</w:t>
      </w:r>
      <w:r w:rsidRPr="003875D7">
        <w:rPr>
          <w:rFonts w:eastAsia="Times New Roman" w:cs="Times New Roman"/>
          <w:lang w:eastAsia="cs-CZ"/>
        </w:rPr>
        <w:t>.1 závazného vzoru smlouvy.</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A82B57">
        <w:rPr>
          <w:rFonts w:cs="Arial"/>
          <w:b/>
        </w:rPr>
        <w:t>Nabídky lze podat v termínu, který je uveden na profilu zadavatele:</w:t>
      </w:r>
      <w:r w:rsidRPr="00A82B57">
        <w:rPr>
          <w:rFonts w:cs="Arial"/>
        </w:rPr>
        <w:t xml:space="preserve"> </w:t>
      </w:r>
      <w:hyperlink r:id="rId18" w:history="1">
        <w:r w:rsidRPr="00A82B57">
          <w:rPr>
            <w:rStyle w:val="Hypertextovodkaz"/>
            <w:rFonts w:cs="Arial"/>
            <w:b/>
            <w:bCs/>
            <w:lang w:eastAsia="cs-CZ"/>
          </w:rPr>
          <w:t>https://zakazky.spravazeleznic.cz/</w:t>
        </w:r>
      </w:hyperlink>
      <w:r w:rsidRPr="00A82B57">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w:t>
      </w:r>
      <w:r w:rsidR="00097DB9" w:rsidRPr="009B745D">
        <w:rPr>
          <w:rFonts w:eastAsia="Times New Roman" w:cs="Times New Roman"/>
          <w:lang w:eastAsia="cs-CZ"/>
        </w:rPr>
        <w:lastRenderedPageBreak/>
        <w:t xml:space="preserve">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3"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3"/>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3875D7"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jeho identifikační údaje, včetně prohlášení o akceptaci zadávacích podmínek, </w:t>
      </w:r>
      <w:r w:rsidRPr="003875D7">
        <w:rPr>
          <w:rFonts w:eastAsia="Times New Roman" w:cs="Times New Roman"/>
          <w:lang w:eastAsia="cs-CZ"/>
        </w:rPr>
        <w:t>prohlášení k zakázaným dohodám a prohlášení ke střetu zájmů ve formě formuláře obsaženého v Příloze č. 1 této Výzvy,</w:t>
      </w:r>
    </w:p>
    <w:p w14:paraId="21447BF3"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plná moc či pověření, je-li tohoto dokumentu třeba,</w:t>
      </w:r>
    </w:p>
    <w:p w14:paraId="3A0AEC77"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doklady o prokázání splnění základní způsobilosti (příloha č. 2 Výzvy),</w:t>
      </w:r>
    </w:p>
    <w:p w14:paraId="501E6826"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doklady o prokázání splnění profesní způsobilosti,</w:t>
      </w:r>
    </w:p>
    <w:p w14:paraId="398E4841"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doklady o prokázání splnění technické kvalifikace,</w:t>
      </w:r>
    </w:p>
    <w:p w14:paraId="2276C646"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3875D7" w:rsidRDefault="004A4465"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 xml:space="preserve">čestné prohlášení o splnění podmínek v souvislosti </w:t>
      </w:r>
      <w:r w:rsidR="00BB4EC2" w:rsidRPr="003875D7">
        <w:rPr>
          <w:rFonts w:eastAsia="Times New Roman" w:cs="Times New Roman"/>
          <w:lang w:eastAsia="cs-CZ"/>
        </w:rPr>
        <w:t>s mezinárodními sankcemi</w:t>
      </w:r>
      <w:r w:rsidRPr="003875D7">
        <w:rPr>
          <w:rFonts w:eastAsia="Times New Roman" w:cs="Times New Roman"/>
          <w:lang w:eastAsia="cs-CZ"/>
        </w:rPr>
        <w:t xml:space="preserve"> zpracované ve formě formuláře dle Přílohy č. </w:t>
      </w:r>
      <w:r w:rsidR="00302042" w:rsidRPr="003875D7">
        <w:rPr>
          <w:rFonts w:eastAsia="Times New Roman" w:cs="Times New Roman"/>
          <w:lang w:eastAsia="cs-CZ"/>
        </w:rPr>
        <w:t>5</w:t>
      </w:r>
      <w:r w:rsidRPr="003875D7">
        <w:rPr>
          <w:rFonts w:eastAsia="Times New Roman" w:cs="Times New Roman"/>
          <w:lang w:eastAsia="cs-CZ"/>
        </w:rPr>
        <w:t xml:space="preserve"> této Výzvy,</w:t>
      </w:r>
    </w:p>
    <w:p w14:paraId="5EFD2700" w14:textId="77777777" w:rsidR="001A6F12" w:rsidRPr="003875D7" w:rsidRDefault="001A6F12" w:rsidP="001A6F12">
      <w:pPr>
        <w:numPr>
          <w:ilvl w:val="0"/>
          <w:numId w:val="14"/>
        </w:numPr>
        <w:spacing w:after="0" w:line="240" w:lineRule="auto"/>
        <w:ind w:hanging="437"/>
        <w:jc w:val="both"/>
        <w:rPr>
          <w:rFonts w:eastAsia="Times New Roman" w:cs="Times New Roman"/>
          <w:lang w:eastAsia="cs-CZ"/>
        </w:rPr>
      </w:pPr>
      <w:r w:rsidRPr="003875D7">
        <w:rPr>
          <w:rFonts w:eastAsia="Times New Roman" w:cs="Times New Roman"/>
          <w:lang w:eastAsia="cs-CZ"/>
        </w:rPr>
        <w:t>případné další doklady.</w:t>
      </w:r>
    </w:p>
    <w:p w14:paraId="30CE1B52" w14:textId="77777777" w:rsidR="00F14433" w:rsidRPr="003875D7"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3875D7">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kterého prokazuje kvalifikaci, nebyli ve střetu zájmů dle § 4b zákona o střetu zájmů. Součástí formuláře obsaženého v Příloze č. 1 </w:t>
      </w:r>
      <w:r w:rsidR="00FB5C5C" w:rsidRPr="003875D7">
        <w:t>této Výzvy</w:t>
      </w:r>
      <w:r w:rsidRPr="003875D7">
        <w:t xml:space="preserve"> proto bude prohlášení ke střetu zájmů ve smyslu ustanovení § 4b zákona</w:t>
      </w:r>
      <w:r w:rsidRPr="000D22AD">
        <w:t xml:space="preserve"> </w:t>
      </w:r>
      <w:r>
        <w:t>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lastRenderedPageBreak/>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3875D7">
        <w:rPr>
          <w:rFonts w:eastAsia="Times New Roman" w:cs="Times New Roman"/>
          <w:lang w:eastAsia="cs-CZ"/>
        </w:rPr>
        <w:t xml:space="preserve">Výzvy a zadávacích podmínek této veřejné zakázky jako celku. </w:t>
      </w:r>
      <w:r w:rsidRPr="003875D7">
        <w:rPr>
          <w:rFonts w:eastAsia="Calibri" w:cs="Times New Roman"/>
          <w:lang w:eastAsia="cs-CZ"/>
        </w:rPr>
        <w:t xml:space="preserve">Nabídková cena bude </w:t>
      </w:r>
      <w:r w:rsidR="00BE771D" w:rsidRPr="003875D7">
        <w:rPr>
          <w:rFonts w:eastAsia="Calibri" w:cs="Times New Roman"/>
          <w:lang w:eastAsia="cs-CZ"/>
        </w:rPr>
        <w:t>v čl. 3</w:t>
      </w:r>
      <w:r w:rsidRPr="003875D7">
        <w:rPr>
          <w:rFonts w:eastAsia="Calibri" w:cs="Times New Roman"/>
          <w:lang w:eastAsia="cs-CZ"/>
        </w:rPr>
        <w:t xml:space="preserve">.1 závazného vzoru smlouvy </w:t>
      </w:r>
      <w:r w:rsidRPr="00614B91">
        <w:rPr>
          <w:rFonts w:eastAsia="Calibri" w:cs="Times New Roman"/>
          <w:lang w:eastAsia="cs-CZ"/>
        </w:rPr>
        <w:t>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Pr="001A6F12">
        <w:rPr>
          <w:rFonts w:eastAsia="Times New Roman" w:cs="Times New Roman"/>
          <w:lang w:eastAsia="cs-CZ"/>
        </w:rPr>
        <w:t>doručená</w:t>
      </w:r>
      <w:proofErr w:type="gramEnd"/>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w:t>
      </w:r>
      <w:r w:rsidRPr="001A6F12">
        <w:rPr>
          <w:rFonts w:eastAsia="Times New Roman" w:cs="Times New Roman"/>
          <w:lang w:eastAsia="cs-CZ"/>
        </w:rPr>
        <w:lastRenderedPageBreak/>
        <w:t>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3875D7">
        <w:rPr>
          <w:rFonts w:eastAsia="Times New Roman" w:cs="Times New Roman"/>
          <w:lang w:eastAsia="cs-CZ"/>
        </w:rPr>
        <w:t xml:space="preserve">ustanoveních článku 5.5 závazného vzoru smlouvy, </w:t>
      </w:r>
      <w:r w:rsidRPr="00C2477A">
        <w:rPr>
          <w:rFonts w:eastAsia="Times New Roman" w:cs="Times New Roman"/>
          <w:lang w:eastAsia="cs-CZ"/>
        </w:rPr>
        <w:t>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4" w:name="_Hlk148531745"/>
      <w:r w:rsidR="00C71BAC" w:rsidRPr="00056A82">
        <w:rPr>
          <w:rFonts w:eastAsia="Times New Roman" w:cs="Times New Roman"/>
          <w:b/>
          <w:sz w:val="20"/>
          <w:szCs w:val="20"/>
          <w:u w:val="single"/>
          <w:lang w:eastAsia="cs-CZ"/>
        </w:rPr>
        <w:t>, zákaz zadání veřejné zakázky</w:t>
      </w:r>
      <w:bookmarkEnd w:id="4"/>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 xml:space="preserve">Dle článku 5k nařízení Rady (EU) č. 833/2014 ze dne 31. července 2014 o omezujících opatřeních vzhledem k činnostem Ruska destabilizujícím situaci na Ukrajině, ve znění </w:t>
      </w:r>
      <w:r w:rsidRPr="007D39F2">
        <w:rPr>
          <w:rFonts w:eastAsia="Verdana" w:cstheme="majorBidi"/>
          <w:noProof/>
          <w:szCs w:val="26"/>
        </w:rPr>
        <w:lastRenderedPageBreak/>
        <w:t>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Splnění zadávacích podmínek stanovených zadavatele</w:t>
      </w:r>
      <w:r w:rsidRPr="003875D7">
        <w:t xml:space="preserve">m dle tohoto článku prokáže účastník předložením čestného prohlášení, jehož vzorové znění je přílohou č. </w:t>
      </w:r>
      <w:r w:rsidR="00302042" w:rsidRPr="003875D7">
        <w:t>5</w:t>
      </w:r>
      <w:r w:rsidRPr="003875D7">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 xml:space="preserve">jejichž způsobilost je </w:t>
      </w:r>
      <w:r>
        <w:lastRenderedPageBreak/>
        <w:t>využívána ve smyslu směrnic o zadávání veřejných zakázek,</w:t>
      </w:r>
      <w:r w:rsidRPr="00F35FBD">
        <w:t xml:space="preserve"> splňují </w:t>
      </w:r>
      <w:r>
        <w:t>podmínky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 xml:space="preserve">Ing. Miroslav </w:t>
      </w:r>
      <w:proofErr w:type="spellStart"/>
      <w:r w:rsidRPr="001A6F12">
        <w:rPr>
          <w:rFonts w:eastAsia="Times New Roman" w:cs="Times New Roman"/>
          <w:b/>
          <w:bCs/>
          <w:lang w:eastAsia="cs-CZ"/>
        </w:rPr>
        <w:t>Bocák</w:t>
      </w:r>
      <w:proofErr w:type="spellEnd"/>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5"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1D1A8B6B" w:rsidR="000B6541" w:rsidRPr="000B6541" w:rsidRDefault="000B6541" w:rsidP="000B6541">
      <w:pPr>
        <w:spacing w:after="120"/>
        <w:jc w:val="both"/>
      </w:pPr>
      <w:r w:rsidRPr="000B6541">
        <w:t xml:space="preserve">Řádně jsme se seznámili se zněním zadávacích podmínek veřejné zakázky s názvem </w:t>
      </w:r>
      <w:r w:rsidR="00A82B57">
        <w:t>„</w:t>
      </w:r>
      <w:r w:rsidR="00A82B57" w:rsidRPr="00EC0D5C">
        <w:rPr>
          <w:rFonts w:eastAsia="Times New Roman" w:cs="Arial"/>
          <w:b/>
          <w:color w:val="000000"/>
          <w:lang w:eastAsia="cs-CZ"/>
        </w:rPr>
        <w:t>Rekonstrukce zastávky Lipová Lázně zastávka</w:t>
      </w:r>
      <w:r w:rsidR="00A82B57">
        <w:rPr>
          <w:rFonts w:eastAsia="Times New Roman" w:cs="Arial"/>
          <w:b/>
          <w:color w:val="000000"/>
          <w:lang w:eastAsia="cs-CZ"/>
        </w:rPr>
        <w:t>“</w:t>
      </w:r>
      <w:r w:rsidR="003875D7">
        <w:rPr>
          <w:rFonts w:eastAsia="Times New Roman" w:cs="Arial"/>
          <w:b/>
          <w:color w:val="000000"/>
          <w:lang w:eastAsia="cs-CZ"/>
        </w:rPr>
        <w:t>-BOZP</w:t>
      </w:r>
      <w:r w:rsidR="00A82B57" w:rsidRPr="000B6541">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5"/>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posledníc</w:t>
            </w:r>
            <w:r w:rsidRPr="00A82B57">
              <w:rPr>
                <w:rFonts w:eastAsia="Times New Roman" w:cs="Calibri"/>
                <w:lang w:eastAsia="cs-CZ"/>
              </w:rPr>
              <w:t>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179E1B0C"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3875D7" w:rsidRPr="003875D7">
        <w:rPr>
          <w:b/>
          <w:bCs/>
        </w:rPr>
        <w:t>Rekonstrukce zastávky Lipová Lázně zastávka</w:t>
      </w:r>
      <w:r w:rsidRPr="00F73F83">
        <w:rPr>
          <w:rFonts w:ascii="Verdana" w:hAnsi="Verdana" w:cs="Arial"/>
          <w:b/>
        </w:rPr>
        <w:t>“</w:t>
      </w:r>
      <w:r w:rsidR="003875D7">
        <w:rPr>
          <w:rFonts w:ascii="Verdana" w:hAnsi="Verdana" w:cs="Arial"/>
          <w:b/>
        </w:rPr>
        <w:t>-BOZP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6"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6"/>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1469E4">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6549B" w14:textId="77777777" w:rsidR="001469E4" w:rsidRDefault="001469E4" w:rsidP="00962258">
      <w:pPr>
        <w:spacing w:after="0" w:line="240" w:lineRule="auto"/>
      </w:pPr>
      <w:r>
        <w:separator/>
      </w:r>
    </w:p>
  </w:endnote>
  <w:endnote w:type="continuationSeparator" w:id="0">
    <w:p w14:paraId="744EABD7" w14:textId="77777777" w:rsidR="001469E4" w:rsidRDefault="001469E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64279" w14:textId="77777777" w:rsidR="001469E4" w:rsidRDefault="001469E4" w:rsidP="00962258">
      <w:pPr>
        <w:spacing w:after="0" w:line="240" w:lineRule="auto"/>
      </w:pPr>
      <w:r>
        <w:separator/>
      </w:r>
    </w:p>
  </w:footnote>
  <w:footnote w:type="continuationSeparator" w:id="0">
    <w:p w14:paraId="09DBC73E" w14:textId="77777777" w:rsidR="001469E4" w:rsidRDefault="001469E4"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0"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74070991"/>
    <w:multiLevelType w:val="multilevel"/>
    <w:tmpl w:val="CABE99FC"/>
    <w:numStyleLink w:val="ListNumbermultilevel"/>
  </w:abstractNum>
  <w:abstractNum w:abstractNumId="2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9"/>
  </w:num>
  <w:num w:numId="2" w16cid:durableId="891191101">
    <w:abstractNumId w:val="2"/>
  </w:num>
  <w:num w:numId="3" w16cid:durableId="131799222">
    <w:abstractNumId w:val="12"/>
  </w:num>
  <w:num w:numId="4" w16cid:durableId="1487434129">
    <w:abstractNumId w:val="26"/>
  </w:num>
  <w:num w:numId="5" w16cid:durableId="462699757">
    <w:abstractNumId w:val="0"/>
  </w:num>
  <w:num w:numId="6" w16cid:durableId="698774015">
    <w:abstractNumId w:val="19"/>
  </w:num>
  <w:num w:numId="7" w16cid:durableId="1268150685">
    <w:abstractNumId w:val="15"/>
  </w:num>
  <w:num w:numId="8" w16cid:durableId="557940582">
    <w:abstractNumId w:val="25"/>
  </w:num>
  <w:num w:numId="9" w16cid:durableId="1310095883">
    <w:abstractNumId w:val="27"/>
  </w:num>
  <w:num w:numId="10" w16cid:durableId="7757198">
    <w:abstractNumId w:val="16"/>
  </w:num>
  <w:num w:numId="11" w16cid:durableId="899246426">
    <w:abstractNumId w:val="18"/>
  </w:num>
  <w:num w:numId="12" w16cid:durableId="523715091">
    <w:abstractNumId w:val="13"/>
  </w:num>
  <w:num w:numId="13" w16cid:durableId="1752236203">
    <w:abstractNumId w:val="6"/>
  </w:num>
  <w:num w:numId="14" w16cid:durableId="237980857">
    <w:abstractNumId w:val="8"/>
  </w:num>
  <w:num w:numId="15" w16cid:durableId="1524317196">
    <w:abstractNumId w:val="4"/>
  </w:num>
  <w:num w:numId="16" w16cid:durableId="20430957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7"/>
  </w:num>
  <w:num w:numId="18" w16cid:durableId="1458832474">
    <w:abstractNumId w:val="10"/>
  </w:num>
  <w:num w:numId="19" w16cid:durableId="1547718093">
    <w:abstractNumId w:val="22"/>
  </w:num>
  <w:num w:numId="20" w16cid:durableId="1300959141">
    <w:abstractNumId w:val="11"/>
  </w:num>
  <w:num w:numId="21" w16cid:durableId="894704096">
    <w:abstractNumId w:val="17"/>
  </w:num>
  <w:num w:numId="22" w16cid:durableId="2130708502">
    <w:abstractNumId w:val="14"/>
  </w:num>
  <w:num w:numId="23" w16cid:durableId="704866085">
    <w:abstractNumId w:val="3"/>
  </w:num>
  <w:num w:numId="24" w16cid:durableId="1537086705">
    <w:abstractNumId w:val="1"/>
  </w:num>
  <w:num w:numId="25" w16cid:durableId="1796635643">
    <w:abstractNumId w:val="23"/>
  </w:num>
  <w:num w:numId="26" w16cid:durableId="13263196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5"/>
  </w:num>
  <w:num w:numId="28" w16cid:durableId="225386286">
    <w:abstractNumId w:val="21"/>
  </w:num>
  <w:num w:numId="29" w16cid:durableId="1317758874">
    <w:abstractNumId w:val="28"/>
  </w:num>
  <w:num w:numId="30" w16cid:durableId="137712190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2D64"/>
    <w:rsid w:val="002D3748"/>
    <w:rsid w:val="002E0CD7"/>
    <w:rsid w:val="002E7995"/>
    <w:rsid w:val="002F026B"/>
    <w:rsid w:val="002F44A6"/>
    <w:rsid w:val="00302042"/>
    <w:rsid w:val="003068E2"/>
    <w:rsid w:val="00311AB7"/>
    <w:rsid w:val="0031419A"/>
    <w:rsid w:val="003538EC"/>
    <w:rsid w:val="00357BC6"/>
    <w:rsid w:val="0037111D"/>
    <w:rsid w:val="003875D7"/>
    <w:rsid w:val="003927C7"/>
    <w:rsid w:val="003956C6"/>
    <w:rsid w:val="00397C2A"/>
    <w:rsid w:val="003A4544"/>
    <w:rsid w:val="003E6B9A"/>
    <w:rsid w:val="003E75CE"/>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3259F"/>
    <w:rsid w:val="00542527"/>
    <w:rsid w:val="00546053"/>
    <w:rsid w:val="00551D1F"/>
    <w:rsid w:val="00553375"/>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522A"/>
    <w:rsid w:val="006A5570"/>
    <w:rsid w:val="006A689C"/>
    <w:rsid w:val="006B3D79"/>
    <w:rsid w:val="006D53F8"/>
    <w:rsid w:val="006E0578"/>
    <w:rsid w:val="006E314D"/>
    <w:rsid w:val="006E5726"/>
    <w:rsid w:val="006E7F06"/>
    <w:rsid w:val="006F0A60"/>
    <w:rsid w:val="006F7E3A"/>
    <w:rsid w:val="00710723"/>
    <w:rsid w:val="00720758"/>
    <w:rsid w:val="00723ED1"/>
    <w:rsid w:val="0073103A"/>
    <w:rsid w:val="00735ED4"/>
    <w:rsid w:val="00743525"/>
    <w:rsid w:val="007531A0"/>
    <w:rsid w:val="0076286B"/>
    <w:rsid w:val="00764595"/>
    <w:rsid w:val="00766846"/>
    <w:rsid w:val="0077673A"/>
    <w:rsid w:val="007846E1"/>
    <w:rsid w:val="00786FD3"/>
    <w:rsid w:val="007A2402"/>
    <w:rsid w:val="007A566E"/>
    <w:rsid w:val="007B570C"/>
    <w:rsid w:val="007D39F2"/>
    <w:rsid w:val="007E48E2"/>
    <w:rsid w:val="007E4A6E"/>
    <w:rsid w:val="007E6170"/>
    <w:rsid w:val="007F1A70"/>
    <w:rsid w:val="007F56A7"/>
    <w:rsid w:val="00807DD0"/>
    <w:rsid w:val="00813D08"/>
    <w:rsid w:val="00813F11"/>
    <w:rsid w:val="00814E27"/>
    <w:rsid w:val="008452A7"/>
    <w:rsid w:val="00855587"/>
    <w:rsid w:val="00866032"/>
    <w:rsid w:val="00866224"/>
    <w:rsid w:val="00885868"/>
    <w:rsid w:val="00891334"/>
    <w:rsid w:val="008956FE"/>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A20EDF"/>
    <w:rsid w:val="00A44328"/>
    <w:rsid w:val="00A453A3"/>
    <w:rsid w:val="00A579F6"/>
    <w:rsid w:val="00A6177B"/>
    <w:rsid w:val="00A63640"/>
    <w:rsid w:val="00A66136"/>
    <w:rsid w:val="00A74D45"/>
    <w:rsid w:val="00A82B57"/>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97A4E"/>
    <w:rsid w:val="00BB3740"/>
    <w:rsid w:val="00BB4EC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00E0"/>
    <w:rsid w:val="00C94497"/>
    <w:rsid w:val="00C96B84"/>
    <w:rsid w:val="00CA7E8E"/>
    <w:rsid w:val="00CB5A25"/>
    <w:rsid w:val="00CB7B5A"/>
    <w:rsid w:val="00CC1E2B"/>
    <w:rsid w:val="00CD1156"/>
    <w:rsid w:val="00CD1FC4"/>
    <w:rsid w:val="00CD50C8"/>
    <w:rsid w:val="00CE371D"/>
    <w:rsid w:val="00D02A4D"/>
    <w:rsid w:val="00D03CF3"/>
    <w:rsid w:val="00D21061"/>
    <w:rsid w:val="00D22D39"/>
    <w:rsid w:val="00D316A7"/>
    <w:rsid w:val="00D4108E"/>
    <w:rsid w:val="00D44B3B"/>
    <w:rsid w:val="00D6163D"/>
    <w:rsid w:val="00D63009"/>
    <w:rsid w:val="00D67399"/>
    <w:rsid w:val="00D756F2"/>
    <w:rsid w:val="00D831A3"/>
    <w:rsid w:val="00D902AD"/>
    <w:rsid w:val="00D9235C"/>
    <w:rsid w:val="00DA6FFE"/>
    <w:rsid w:val="00DC3110"/>
    <w:rsid w:val="00DD46F3"/>
    <w:rsid w:val="00DD5368"/>
    <w:rsid w:val="00DD58A6"/>
    <w:rsid w:val="00DE56F2"/>
    <w:rsid w:val="00DF116D"/>
    <w:rsid w:val="00E141C4"/>
    <w:rsid w:val="00E26114"/>
    <w:rsid w:val="00E30314"/>
    <w:rsid w:val="00E62CB1"/>
    <w:rsid w:val="00E70D8C"/>
    <w:rsid w:val="00E824F1"/>
    <w:rsid w:val="00EB104F"/>
    <w:rsid w:val="00ED14BD"/>
    <w:rsid w:val="00EE5E31"/>
    <w:rsid w:val="00EF2CEC"/>
    <w:rsid w:val="00F01440"/>
    <w:rsid w:val="00F12DEC"/>
    <w:rsid w:val="00F14433"/>
    <w:rsid w:val="00F1715C"/>
    <w:rsid w:val="00F310F8"/>
    <w:rsid w:val="00F35939"/>
    <w:rsid w:val="00F44F4D"/>
    <w:rsid w:val="00F45607"/>
    <w:rsid w:val="00F46AD9"/>
    <w:rsid w:val="00F52191"/>
    <w:rsid w:val="00F548A3"/>
    <w:rsid w:val="00F64786"/>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91</TotalTime>
  <Pages>21</Pages>
  <Words>9685</Words>
  <Characters>57147</Characters>
  <Application>Microsoft Office Word</Application>
  <DocSecurity>0</DocSecurity>
  <Lines>476</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7</cp:revision>
  <cp:lastPrinted>2019-02-22T13:28:00Z</cp:lastPrinted>
  <dcterms:created xsi:type="dcterms:W3CDTF">2024-02-16T06:16:00Z</dcterms:created>
  <dcterms:modified xsi:type="dcterms:W3CDTF">2024-05-13T08:30:00Z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