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27D550CB" w14:textId="77777777" w:rsidTr="003668A7">
        <w:trPr>
          <w:trHeight w:val="5613"/>
        </w:trPr>
        <w:tc>
          <w:tcPr>
            <w:tcW w:w="8674" w:type="dxa"/>
          </w:tcPr>
          <w:p w14:paraId="1389C849" w14:textId="1DBFAFEB" w:rsidR="00EE2F0C" w:rsidRPr="00331E6D" w:rsidRDefault="000040BF" w:rsidP="00EE2F0C">
            <w:pPr>
              <w:pStyle w:val="Stavnebourendokumentu"/>
            </w:pPr>
            <w:bookmarkStart w:id="0" w:name="_Toc499564342"/>
            <w:bookmarkStart w:id="1" w:name="_Toc499564365"/>
            <w:bookmarkStart w:id="2" w:name="_Toc499564758"/>
            <w:r>
              <w:rPr>
                <w:noProof/>
                <w:lang w:eastAsia="cs-CZ"/>
              </w:rPr>
              <w:drawing>
                <wp:inline distT="0" distB="0" distL="0" distR="0" wp14:anchorId="5DCC8D6E" wp14:editId="443ACA26">
                  <wp:extent cx="5493385" cy="3825240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0220826_102828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63" t="8661" b="6079"/>
                          <a:stretch/>
                        </pic:blipFill>
                        <pic:spPr bwMode="auto">
                          <a:xfrm>
                            <a:off x="0" y="0"/>
                            <a:ext cx="5505987" cy="38340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F0C" w:rsidRPr="00331E6D" w14:paraId="5543F417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3D893F08" w14:textId="77777777" w:rsidR="00EE2F0C" w:rsidRPr="00331E6D" w:rsidRDefault="00EE2F0C" w:rsidP="00120D55"/>
        </w:tc>
      </w:tr>
      <w:tr w:rsidR="00EE2F0C" w:rsidRPr="00331E6D" w14:paraId="1A566A48" w14:textId="77777777" w:rsidTr="003668A7">
        <w:trPr>
          <w:cantSplit/>
          <w:trHeight w:hRule="exact" w:val="5273"/>
        </w:trPr>
        <w:tc>
          <w:tcPr>
            <w:tcW w:w="8674" w:type="dxa"/>
          </w:tcPr>
          <w:sdt>
            <w:sdtPr>
              <w:alias w:val="Název"/>
              <w:tag w:val=""/>
              <w:id w:val="-890489275"/>
              <w:placeholder>
                <w:docPart w:val="DF8AB08BBF2A4DF9B604A3F8B009D318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2AF7FC8F" w14:textId="40187617" w:rsidR="00EE2F0C" w:rsidRPr="00B97D88" w:rsidRDefault="00B97D88" w:rsidP="00120D55">
                <w:pPr>
                  <w:pStyle w:val="Nzev"/>
                </w:pPr>
                <w:r w:rsidRPr="00B97D88">
                  <w:t>Záměr projektu</w:t>
                </w:r>
              </w:p>
            </w:sdtContent>
          </w:sdt>
          <w:p w14:paraId="6020EAA0" w14:textId="77777777" w:rsidR="003554AE" w:rsidRDefault="00B97D88" w:rsidP="00B97D88">
            <w:pPr>
              <w:pStyle w:val="Doplkovinformaceknzvudokumentu"/>
              <w:spacing w:after="1200"/>
            </w:pPr>
            <w:bookmarkStart w:id="3" w:name="_Hlk118701875"/>
            <w:r>
              <w:t>„</w:t>
            </w:r>
            <w:r w:rsidRPr="00B97D88">
              <w:t>Rekonstrukce nástupišť v ŽST Valašské Meziříčí</w:t>
            </w:r>
            <w:r>
              <w:t>“</w:t>
            </w:r>
            <w:bookmarkEnd w:id="3"/>
          </w:p>
          <w:p w14:paraId="66B3C9ED" w14:textId="574EDDEC" w:rsidR="00B97D88" w:rsidRPr="00331E6D" w:rsidRDefault="00B97D88" w:rsidP="00B97D88">
            <w:pPr>
              <w:pStyle w:val="Doplkovinformaceknzvudokumentu"/>
              <w:spacing w:after="1200"/>
            </w:pPr>
            <w:r>
              <w:t xml:space="preserve">Příloha C: </w:t>
            </w:r>
            <w:r w:rsidR="00642234">
              <w:t>Dokumentace hodnocení ekonomické efektivnosti p</w:t>
            </w:r>
            <w:r w:rsidR="00BD2EC2">
              <w:t>rojektu nebo analýzy výsledků a </w:t>
            </w:r>
            <w:r w:rsidR="00642234">
              <w:t>dopadů projektu</w:t>
            </w:r>
          </w:p>
        </w:tc>
      </w:tr>
      <w:tr w:rsidR="00EE2F0C" w:rsidRPr="00331E6D" w14:paraId="02B7F49A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00381631" w14:textId="77777777" w:rsidR="00EE2F0C" w:rsidRPr="00331E6D" w:rsidRDefault="00EE2F0C" w:rsidP="00120D55"/>
        </w:tc>
      </w:tr>
    </w:tbl>
    <w:p w14:paraId="662F5E29" w14:textId="77777777" w:rsidR="005C1916" w:rsidRPr="00331E6D" w:rsidRDefault="005C1916" w:rsidP="000B1FCB">
      <w:pPr>
        <w:pStyle w:val="Bezmezer"/>
      </w:pPr>
    </w:p>
    <w:p w14:paraId="423C252C" w14:textId="77777777" w:rsidR="005F4418" w:rsidRPr="00331E6D" w:rsidRDefault="005F4418" w:rsidP="000B1FCB">
      <w:pPr>
        <w:pStyle w:val="Bezmezer"/>
        <w:sectPr w:rsidR="005F4418" w:rsidRPr="00331E6D" w:rsidSect="005F4418">
          <w:headerReference w:type="default" r:id="rId12"/>
          <w:headerReference w:type="first" r:id="rId13"/>
          <w:footerReference w:type="first" r:id="rId14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186ADE2E" w14:textId="77777777" w:rsidR="005C1916" w:rsidRPr="00331E6D" w:rsidRDefault="005C1916" w:rsidP="000B1FCB">
      <w:pPr>
        <w:pStyle w:val="Bezmezer"/>
        <w:sectPr w:rsidR="005C1916" w:rsidRPr="00331E6D" w:rsidSect="005F4418">
          <w:headerReference w:type="even" r:id="rId15"/>
          <w:footerReference w:type="even" r:id="rId16"/>
          <w:headerReference w:type="first" r:id="rId17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1949122845"/>
        <w:docPartObj>
          <w:docPartGallery w:val="Table of Contents"/>
          <w:docPartUnique/>
        </w:docPartObj>
      </w:sdtPr>
      <w:sdtContent>
        <w:p w14:paraId="56DA5257" w14:textId="77777777" w:rsidR="00051ED9" w:rsidRPr="00331E6D" w:rsidRDefault="00051ED9" w:rsidP="00FA3806">
          <w:pPr>
            <w:pStyle w:val="Nadpisobsahu"/>
          </w:pPr>
          <w:r w:rsidRPr="003E2370">
            <w:t>Obsah</w:t>
          </w:r>
        </w:p>
        <w:p w14:paraId="5F9F1488" w14:textId="2C3C506A" w:rsidR="00CA6003" w:rsidRDefault="00051ED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 w:rsidRPr="00331E6D">
            <w:fldChar w:fldCharType="begin"/>
          </w:r>
          <w:r w:rsidRPr="00331E6D">
            <w:instrText xml:space="preserve"> TOC \o "1-3" \h \z \u </w:instrText>
          </w:r>
          <w:r w:rsidRPr="00331E6D">
            <w:fldChar w:fldCharType="separate"/>
          </w:r>
          <w:hyperlink w:anchor="_Toc148597859" w:history="1">
            <w:r w:rsidR="00CA6003" w:rsidRPr="005C6878">
              <w:rPr>
                <w:rStyle w:val="Hypertextovodkaz"/>
              </w:rPr>
              <w:t>Seznam zkratek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_Toc148597859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 w:rsidR="00C16554">
              <w:rPr>
                <w:webHidden/>
              </w:rPr>
              <w:t>4</w:t>
            </w:r>
            <w:r w:rsidR="00CA6003">
              <w:rPr>
                <w:webHidden/>
              </w:rPr>
              <w:fldChar w:fldCharType="end"/>
            </w:r>
          </w:hyperlink>
        </w:p>
        <w:p w14:paraId="74E389CF" w14:textId="2AF27717" w:rsidR="00CA6003" w:rsidRDefault="00C16554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48597860" w:history="1">
            <w:r w:rsidR="00CA6003" w:rsidRPr="005C6878">
              <w:rPr>
                <w:rStyle w:val="Hypertextovodkaz"/>
              </w:rPr>
              <w:t>1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Identifikace projektu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_Toc148597860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CA6003">
              <w:rPr>
                <w:webHidden/>
              </w:rPr>
              <w:fldChar w:fldCharType="end"/>
            </w:r>
          </w:hyperlink>
        </w:p>
        <w:p w14:paraId="582AB353" w14:textId="5BBF3AA6" w:rsidR="00CA6003" w:rsidRDefault="00C16554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48597861" w:history="1">
            <w:r w:rsidR="00CA6003" w:rsidRPr="005C6878">
              <w:rPr>
                <w:rStyle w:val="Hypertextovodkaz"/>
              </w:rPr>
              <w:t>2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Metodika ekonomického hodnocení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_Toc148597861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CA6003">
              <w:rPr>
                <w:webHidden/>
              </w:rPr>
              <w:fldChar w:fldCharType="end"/>
            </w:r>
          </w:hyperlink>
        </w:p>
        <w:p w14:paraId="792E4AFE" w14:textId="10BADDB3" w:rsidR="00CA6003" w:rsidRDefault="00C16554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48597862" w:history="1">
            <w:r w:rsidR="00CA6003" w:rsidRPr="005C6878">
              <w:rPr>
                <w:rStyle w:val="Hypertextovodkaz"/>
              </w:rPr>
              <w:t>3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Popis současného stavu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_Toc148597862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CA6003">
              <w:rPr>
                <w:webHidden/>
              </w:rPr>
              <w:fldChar w:fldCharType="end"/>
            </w:r>
          </w:hyperlink>
        </w:p>
        <w:p w14:paraId="7FFFFC4A" w14:textId="527C8B4F" w:rsidR="00CA6003" w:rsidRDefault="00C16554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48597863" w:history="1">
            <w:r w:rsidR="00CA6003" w:rsidRPr="005C6878">
              <w:rPr>
                <w:rStyle w:val="Hypertextovodkaz"/>
              </w:rPr>
              <w:t>4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Dopravní a provozní technologie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_Toc148597863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CA6003">
              <w:rPr>
                <w:webHidden/>
              </w:rPr>
              <w:fldChar w:fldCharType="end"/>
            </w:r>
          </w:hyperlink>
        </w:p>
        <w:p w14:paraId="1A7E9334" w14:textId="099E876D" w:rsidR="00CA6003" w:rsidRDefault="00C16554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48597864" w:history="1">
            <w:r w:rsidR="00CA6003" w:rsidRPr="005C6878">
              <w:rPr>
                <w:rStyle w:val="Hypertextovodkaz"/>
              </w:rPr>
              <w:t>4.1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Výchozí stav železničního provozu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_Toc148597864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CA6003">
              <w:rPr>
                <w:webHidden/>
              </w:rPr>
              <w:fldChar w:fldCharType="end"/>
            </w:r>
          </w:hyperlink>
        </w:p>
        <w:p w14:paraId="04E1F029" w14:textId="17288B24" w:rsidR="00CA6003" w:rsidRDefault="00C16554">
          <w:pPr>
            <w:pStyle w:val="Obsah3"/>
            <w:rPr>
              <w:rFonts w:eastAsiaTheme="minorEastAsia"/>
              <w:sz w:val="22"/>
              <w:szCs w:val="22"/>
              <w:lang w:eastAsia="cs-CZ"/>
            </w:rPr>
          </w:pPr>
          <w:hyperlink w:anchor="_Toc148597865" w:history="1">
            <w:r w:rsidR="00CA6003" w:rsidRPr="005C6878">
              <w:rPr>
                <w:rStyle w:val="Hypertextovodkaz"/>
              </w:rPr>
              <w:t>4.1.1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Rozsah dopravy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_Toc148597865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CA6003">
              <w:rPr>
                <w:webHidden/>
              </w:rPr>
              <w:fldChar w:fldCharType="end"/>
            </w:r>
          </w:hyperlink>
        </w:p>
        <w:p w14:paraId="6AC70632" w14:textId="75E94F87" w:rsidR="00CA6003" w:rsidRDefault="00C16554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48597866" w:history="1">
            <w:r w:rsidR="00CA6003" w:rsidRPr="005C6878">
              <w:rPr>
                <w:rStyle w:val="Hypertextovodkaz"/>
              </w:rPr>
              <w:t>4.2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Výhledový stav železničního provozu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_Toc148597866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CA6003">
              <w:rPr>
                <w:webHidden/>
              </w:rPr>
              <w:fldChar w:fldCharType="end"/>
            </w:r>
          </w:hyperlink>
        </w:p>
        <w:p w14:paraId="704599EE" w14:textId="26701B09" w:rsidR="00CA6003" w:rsidRDefault="00C16554">
          <w:pPr>
            <w:pStyle w:val="Obsah3"/>
            <w:rPr>
              <w:rFonts w:eastAsiaTheme="minorEastAsia"/>
              <w:sz w:val="22"/>
              <w:szCs w:val="22"/>
              <w:lang w:eastAsia="cs-CZ"/>
            </w:rPr>
          </w:pPr>
          <w:hyperlink w:anchor="_Toc148597867" w:history="1">
            <w:r w:rsidR="00CA6003" w:rsidRPr="005C6878">
              <w:rPr>
                <w:rStyle w:val="Hypertextovodkaz"/>
              </w:rPr>
              <w:t>4.2.1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Předpoklady výhledu osobní dopravy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_Toc148597867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 w:rsidR="00CA6003">
              <w:rPr>
                <w:webHidden/>
              </w:rPr>
              <w:fldChar w:fldCharType="end"/>
            </w:r>
          </w:hyperlink>
        </w:p>
        <w:p w14:paraId="392F43B6" w14:textId="20472ECA" w:rsidR="00CA6003" w:rsidRDefault="00C16554">
          <w:pPr>
            <w:pStyle w:val="Obsah3"/>
            <w:rPr>
              <w:rFonts w:eastAsiaTheme="minorEastAsia"/>
              <w:sz w:val="22"/>
              <w:szCs w:val="22"/>
              <w:lang w:eastAsia="cs-CZ"/>
            </w:rPr>
          </w:pPr>
          <w:hyperlink w:anchor="_Toc148597868" w:history="1">
            <w:r w:rsidR="00CA6003" w:rsidRPr="005C6878">
              <w:rPr>
                <w:rStyle w:val="Hypertextovodkaz"/>
              </w:rPr>
              <w:t>4.2.2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Výhledový rozsah dopravy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_Toc148597868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CA6003">
              <w:rPr>
                <w:webHidden/>
              </w:rPr>
              <w:fldChar w:fldCharType="end"/>
            </w:r>
          </w:hyperlink>
        </w:p>
        <w:p w14:paraId="65456785" w14:textId="11CC1B96" w:rsidR="00CA6003" w:rsidRDefault="00C16554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48597869" w:history="1">
            <w:r w:rsidR="00CA6003" w:rsidRPr="005C6878">
              <w:rPr>
                <w:rStyle w:val="Hypertextovodkaz"/>
              </w:rPr>
              <w:t>5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Návrh variant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_Toc148597869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CA6003">
              <w:rPr>
                <w:webHidden/>
              </w:rPr>
              <w:fldChar w:fldCharType="end"/>
            </w:r>
          </w:hyperlink>
        </w:p>
        <w:p w14:paraId="32A14151" w14:textId="01A03C30" w:rsidR="00CA6003" w:rsidRDefault="00C16554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48597870" w:history="1">
            <w:r w:rsidR="00CA6003" w:rsidRPr="005C6878">
              <w:rPr>
                <w:rStyle w:val="Hypertextovodkaz"/>
              </w:rPr>
              <w:t>5.1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Varianta bez projektu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_Toc148597870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CA6003">
              <w:rPr>
                <w:webHidden/>
              </w:rPr>
              <w:fldChar w:fldCharType="end"/>
            </w:r>
          </w:hyperlink>
        </w:p>
        <w:p w14:paraId="6F539EC2" w14:textId="3B2380C7" w:rsidR="00CA6003" w:rsidRDefault="00C16554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48597871" w:history="1">
            <w:r w:rsidR="00CA6003" w:rsidRPr="005C6878">
              <w:rPr>
                <w:rStyle w:val="Hypertextovodkaz"/>
              </w:rPr>
              <w:t>5.2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Varianta s projektem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_Toc148597871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 w:rsidR="00CA6003">
              <w:rPr>
                <w:webHidden/>
              </w:rPr>
              <w:fldChar w:fldCharType="end"/>
            </w:r>
          </w:hyperlink>
        </w:p>
        <w:p w14:paraId="75FE6C9D" w14:textId="7379E605" w:rsidR="00CA6003" w:rsidRDefault="00C16554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48597872" w:history="1">
            <w:r w:rsidR="00CA6003" w:rsidRPr="005C6878">
              <w:rPr>
                <w:rStyle w:val="Hypertextovodkaz"/>
              </w:rPr>
              <w:t>6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Ekonomické hodnocení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_Toc148597872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CA6003">
              <w:rPr>
                <w:webHidden/>
              </w:rPr>
              <w:fldChar w:fldCharType="end"/>
            </w:r>
          </w:hyperlink>
        </w:p>
        <w:p w14:paraId="3C99B1DB" w14:textId="3CFEA857" w:rsidR="00CA6003" w:rsidRDefault="00C16554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48597873" w:history="1">
            <w:r w:rsidR="00CA6003" w:rsidRPr="005C6878">
              <w:rPr>
                <w:rStyle w:val="Hypertextovodkaz"/>
              </w:rPr>
              <w:t>6.1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Finanční analýza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_Toc148597873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CA6003">
              <w:rPr>
                <w:webHidden/>
              </w:rPr>
              <w:fldChar w:fldCharType="end"/>
            </w:r>
          </w:hyperlink>
        </w:p>
        <w:p w14:paraId="6F48EAE8" w14:textId="08203260" w:rsidR="00CA6003" w:rsidRDefault="00C16554">
          <w:pPr>
            <w:pStyle w:val="Obsah3"/>
            <w:rPr>
              <w:rFonts w:eastAsiaTheme="minorEastAsia"/>
              <w:sz w:val="22"/>
              <w:szCs w:val="22"/>
              <w:lang w:eastAsia="cs-CZ"/>
            </w:rPr>
          </w:pPr>
          <w:hyperlink w:anchor="_Toc148597874" w:history="1">
            <w:r w:rsidR="00CA6003" w:rsidRPr="005C6878">
              <w:rPr>
                <w:rStyle w:val="Hypertextovodkaz"/>
              </w:rPr>
              <w:t>6.1.1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Investiční náklady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_Toc148597874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 w:rsidR="00CA6003">
              <w:rPr>
                <w:webHidden/>
              </w:rPr>
              <w:fldChar w:fldCharType="end"/>
            </w:r>
          </w:hyperlink>
        </w:p>
        <w:p w14:paraId="5B68CA01" w14:textId="6E832190" w:rsidR="00CA6003" w:rsidRDefault="00C16554">
          <w:pPr>
            <w:pStyle w:val="Obsah3"/>
            <w:rPr>
              <w:rFonts w:eastAsiaTheme="minorEastAsia"/>
              <w:sz w:val="22"/>
              <w:szCs w:val="22"/>
              <w:lang w:eastAsia="cs-CZ"/>
            </w:rPr>
          </w:pPr>
          <w:hyperlink w:anchor="_Toc148597875" w:history="1">
            <w:r w:rsidR="00CA6003" w:rsidRPr="005C6878">
              <w:rPr>
                <w:rStyle w:val="Hypertextovodkaz"/>
              </w:rPr>
              <w:t>6.1.2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Provozní náklady železniční infrastruktury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_Toc148597875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CA6003">
              <w:rPr>
                <w:webHidden/>
              </w:rPr>
              <w:fldChar w:fldCharType="end"/>
            </w:r>
          </w:hyperlink>
        </w:p>
        <w:p w14:paraId="5E1A6ECA" w14:textId="4842D16F" w:rsidR="00CA6003" w:rsidRDefault="00C16554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48597876" w:history="1">
            <w:r w:rsidR="00CA6003" w:rsidRPr="005C6878">
              <w:rPr>
                <w:rStyle w:val="Hypertextovodkaz"/>
              </w:rPr>
              <w:t>6.2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Příjmy z pronájmu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_Toc148597876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CA6003">
              <w:rPr>
                <w:webHidden/>
              </w:rPr>
              <w:fldChar w:fldCharType="end"/>
            </w:r>
          </w:hyperlink>
        </w:p>
        <w:p w14:paraId="371920D6" w14:textId="52568010" w:rsidR="00CA6003" w:rsidRDefault="00C16554">
          <w:pPr>
            <w:pStyle w:val="Obsah3"/>
            <w:rPr>
              <w:rFonts w:eastAsiaTheme="minorEastAsia"/>
              <w:sz w:val="22"/>
              <w:szCs w:val="22"/>
              <w:lang w:eastAsia="cs-CZ"/>
            </w:rPr>
          </w:pPr>
          <w:hyperlink w:anchor="_Toc148597877" w:history="1">
            <w:r w:rsidR="00CA6003" w:rsidRPr="005C6878">
              <w:rPr>
                <w:rStyle w:val="Hypertextovodkaz"/>
              </w:rPr>
              <w:t>6.2.1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Zůstatková hodnota finanční analýzy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_Toc148597877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CA6003">
              <w:rPr>
                <w:webHidden/>
              </w:rPr>
              <w:fldChar w:fldCharType="end"/>
            </w:r>
          </w:hyperlink>
        </w:p>
        <w:p w14:paraId="5A0D8955" w14:textId="358E1A2D" w:rsidR="00CA6003" w:rsidRDefault="00C16554">
          <w:pPr>
            <w:pStyle w:val="Obsah3"/>
            <w:rPr>
              <w:rFonts w:eastAsiaTheme="minorEastAsia"/>
              <w:sz w:val="22"/>
              <w:szCs w:val="22"/>
              <w:lang w:eastAsia="cs-CZ"/>
            </w:rPr>
          </w:pPr>
          <w:hyperlink w:anchor="_Toc148597878" w:history="1">
            <w:r w:rsidR="00CA6003" w:rsidRPr="005C6878">
              <w:rPr>
                <w:rStyle w:val="Hypertextovodkaz"/>
              </w:rPr>
              <w:t>6.2.2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Výsledné ukazatele finanční analýzy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_Toc148597878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CA6003">
              <w:rPr>
                <w:webHidden/>
              </w:rPr>
              <w:fldChar w:fldCharType="end"/>
            </w:r>
          </w:hyperlink>
        </w:p>
        <w:p w14:paraId="545A68AE" w14:textId="35A643B0" w:rsidR="00CA6003" w:rsidRDefault="00C16554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48597879" w:history="1">
            <w:r w:rsidR="00CA6003" w:rsidRPr="005C6878">
              <w:rPr>
                <w:rStyle w:val="Hypertextovodkaz"/>
              </w:rPr>
              <w:t>6.3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Ekonomická analýza - MKA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_Toc148597879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CA6003">
              <w:rPr>
                <w:webHidden/>
              </w:rPr>
              <w:fldChar w:fldCharType="end"/>
            </w:r>
          </w:hyperlink>
        </w:p>
        <w:p w14:paraId="2B6EBD25" w14:textId="25C560C5" w:rsidR="00CA6003" w:rsidRDefault="00C16554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48597880" w:history="1">
            <w:r w:rsidR="00CA6003" w:rsidRPr="005C6878">
              <w:rPr>
                <w:rStyle w:val="Hypertextovodkaz"/>
              </w:rPr>
              <w:t>7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Analýza citlivosti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_Toc148597880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CA6003">
              <w:rPr>
                <w:webHidden/>
              </w:rPr>
              <w:fldChar w:fldCharType="end"/>
            </w:r>
          </w:hyperlink>
        </w:p>
        <w:p w14:paraId="525AF76D" w14:textId="4148836A" w:rsidR="00CA6003" w:rsidRDefault="00C16554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48597881" w:history="1">
            <w:r w:rsidR="00CA6003" w:rsidRPr="005C6878">
              <w:rPr>
                <w:rStyle w:val="Hypertextovodkaz"/>
              </w:rPr>
              <w:t>8</w:t>
            </w:r>
            <w:r w:rsidR="00CA6003"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="00CA6003" w:rsidRPr="005C6878">
              <w:rPr>
                <w:rStyle w:val="Hypertextovodkaz"/>
              </w:rPr>
              <w:t>Závěr</w:t>
            </w:r>
            <w:r w:rsidR="00CA6003">
              <w:rPr>
                <w:webHidden/>
              </w:rPr>
              <w:tab/>
            </w:r>
            <w:r w:rsidR="00CA6003">
              <w:rPr>
                <w:webHidden/>
              </w:rPr>
              <w:fldChar w:fldCharType="begin"/>
            </w:r>
            <w:r w:rsidR="00CA6003">
              <w:rPr>
                <w:webHidden/>
              </w:rPr>
              <w:instrText xml:space="preserve"> PAGEREF _Toc148597881 \h </w:instrText>
            </w:r>
            <w:r w:rsidR="00CA6003">
              <w:rPr>
                <w:webHidden/>
              </w:rPr>
            </w:r>
            <w:r w:rsidR="00CA6003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CA6003">
              <w:rPr>
                <w:webHidden/>
              </w:rPr>
              <w:fldChar w:fldCharType="end"/>
            </w:r>
          </w:hyperlink>
        </w:p>
        <w:p w14:paraId="6DCB82BF" w14:textId="2C2341C6" w:rsidR="00051ED9" w:rsidRPr="00331E6D" w:rsidRDefault="00051ED9">
          <w:r w:rsidRPr="00331E6D">
            <w:fldChar w:fldCharType="end"/>
          </w:r>
        </w:p>
      </w:sdtContent>
    </w:sdt>
    <w:p w14:paraId="3363D4A5" w14:textId="77777777" w:rsidR="005B4D80" w:rsidRPr="00331E6D" w:rsidRDefault="005B4D80" w:rsidP="0085366B">
      <w:r w:rsidRPr="00331E6D">
        <w:br w:type="page"/>
      </w:r>
    </w:p>
    <w:p w14:paraId="17E19024" w14:textId="77777777" w:rsidR="009337B4" w:rsidRPr="00331E6D" w:rsidRDefault="009337B4" w:rsidP="00465115">
      <w:pPr>
        <w:pStyle w:val="Nadpis1neslovan"/>
        <w:spacing w:after="240"/>
      </w:pPr>
      <w:bookmarkStart w:id="4" w:name="_Toc148597859"/>
      <w:r w:rsidRPr="00331E6D">
        <w:lastRenderedPageBreak/>
        <w:t>Seznam zkratek</w:t>
      </w:r>
      <w:bookmarkEnd w:id="4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850"/>
        <w:gridCol w:w="7540"/>
      </w:tblGrid>
      <w:tr w:rsidR="00EB0BF6" w:rsidRPr="00D75EBC" w14:paraId="7CD0CB05" w14:textId="77777777" w:rsidTr="0079456D">
        <w:tc>
          <w:tcPr>
            <w:tcW w:w="850" w:type="dxa"/>
          </w:tcPr>
          <w:p w14:paraId="5C7CE157" w14:textId="77777777" w:rsidR="00EB0BF6" w:rsidRPr="00D15683" w:rsidRDefault="00EB0BF6" w:rsidP="0079456D">
            <w:pPr>
              <w:pStyle w:val="Seznamzkratek"/>
              <w:rPr>
                <w:b/>
              </w:rPr>
            </w:pPr>
            <w:r w:rsidRPr="00D15683">
              <w:rPr>
                <w:b/>
              </w:rPr>
              <w:t>CBA</w:t>
            </w:r>
          </w:p>
        </w:tc>
        <w:tc>
          <w:tcPr>
            <w:tcW w:w="7540" w:type="dxa"/>
          </w:tcPr>
          <w:p w14:paraId="3DDDB0B4" w14:textId="77777777" w:rsidR="00EB0BF6" w:rsidRPr="00D15683" w:rsidRDefault="00EB0BF6" w:rsidP="0079456D">
            <w:pPr>
              <w:pStyle w:val="Seznamzkratek"/>
            </w:pPr>
            <w:r w:rsidRPr="00D15683">
              <w:t>analýza výnosů a nákladů</w:t>
            </w:r>
            <w:r w:rsidRPr="00D15683">
              <w:br/>
            </w:r>
            <w:r w:rsidRPr="00D15683">
              <w:rPr>
                <w:i/>
              </w:rPr>
              <w:t>cost-benefit analysis</w:t>
            </w:r>
          </w:p>
        </w:tc>
      </w:tr>
      <w:tr w:rsidR="00EB0BF6" w:rsidRPr="00D75EBC" w14:paraId="636E78A8" w14:textId="77777777" w:rsidTr="0079456D">
        <w:tc>
          <w:tcPr>
            <w:tcW w:w="850" w:type="dxa"/>
          </w:tcPr>
          <w:p w14:paraId="710972A7" w14:textId="77777777" w:rsidR="00EB0BF6" w:rsidRPr="00D15683" w:rsidRDefault="00EB0BF6" w:rsidP="0079456D">
            <w:pPr>
              <w:pStyle w:val="Seznamzkratek"/>
              <w:rPr>
                <w:b/>
              </w:rPr>
            </w:pPr>
            <w:r w:rsidRPr="00D15683">
              <w:rPr>
                <w:b/>
              </w:rPr>
              <w:t>CÚ</w:t>
            </w:r>
          </w:p>
        </w:tc>
        <w:tc>
          <w:tcPr>
            <w:tcW w:w="7540" w:type="dxa"/>
          </w:tcPr>
          <w:p w14:paraId="128069FB" w14:textId="77777777" w:rsidR="00EB0BF6" w:rsidRPr="00D15683" w:rsidRDefault="00EB0BF6" w:rsidP="0079456D">
            <w:pPr>
              <w:pStyle w:val="Seznamzkratek"/>
            </w:pPr>
            <w:r w:rsidRPr="00D15683">
              <w:t>cenová úroveň</w:t>
            </w:r>
          </w:p>
        </w:tc>
      </w:tr>
      <w:tr w:rsidR="00C8657D" w:rsidRPr="00D75EBC" w14:paraId="74CE0009" w14:textId="77777777" w:rsidTr="0079456D">
        <w:tc>
          <w:tcPr>
            <w:tcW w:w="850" w:type="dxa"/>
          </w:tcPr>
          <w:p w14:paraId="2EE485C2" w14:textId="3967EAE5" w:rsidR="00C8657D" w:rsidRPr="00D15683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ČD</w:t>
            </w:r>
          </w:p>
        </w:tc>
        <w:tc>
          <w:tcPr>
            <w:tcW w:w="7540" w:type="dxa"/>
          </w:tcPr>
          <w:p w14:paraId="0FEC3C32" w14:textId="096CF8FD" w:rsidR="00C8657D" w:rsidRPr="00D15683" w:rsidRDefault="00C4148B" w:rsidP="0079456D">
            <w:pPr>
              <w:pStyle w:val="Seznamzkratek"/>
            </w:pPr>
            <w:r>
              <w:t>České dráhy, a. s.</w:t>
            </w:r>
          </w:p>
        </w:tc>
      </w:tr>
      <w:tr w:rsidR="00C8657D" w:rsidRPr="00D75EBC" w14:paraId="31919832" w14:textId="77777777" w:rsidTr="0079456D">
        <w:tc>
          <w:tcPr>
            <w:tcW w:w="850" w:type="dxa"/>
          </w:tcPr>
          <w:p w14:paraId="3FC7EF10" w14:textId="10EAA21C" w:rsidR="00C8657D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EC</w:t>
            </w:r>
          </w:p>
        </w:tc>
        <w:tc>
          <w:tcPr>
            <w:tcW w:w="7540" w:type="dxa"/>
          </w:tcPr>
          <w:p w14:paraId="742B05FC" w14:textId="34C10018" w:rsidR="00C8657D" w:rsidRPr="00D15683" w:rsidRDefault="00BD2EC2" w:rsidP="00BD2EC2">
            <w:pPr>
              <w:pStyle w:val="Seznamzkratek"/>
            </w:pPr>
            <w:proofErr w:type="spellStart"/>
            <w:r>
              <w:t>E</w:t>
            </w:r>
            <w:r w:rsidR="00C4148B">
              <w:t>uro</w:t>
            </w:r>
            <w:r>
              <w:t>C</w:t>
            </w:r>
            <w:r w:rsidR="00C4148B">
              <w:t>ity</w:t>
            </w:r>
            <w:proofErr w:type="spellEnd"/>
            <w:r>
              <w:t>, komerční název vlaků dopravní kategorie Ex</w:t>
            </w:r>
          </w:p>
        </w:tc>
      </w:tr>
      <w:tr w:rsidR="00EB0BF6" w:rsidRPr="00D75EBC" w14:paraId="5FE5EA94" w14:textId="77777777" w:rsidTr="0079456D">
        <w:tc>
          <w:tcPr>
            <w:tcW w:w="850" w:type="dxa"/>
          </w:tcPr>
          <w:p w14:paraId="26886A16" w14:textId="77777777" w:rsidR="00EB0BF6" w:rsidRPr="00833C3C" w:rsidRDefault="00EB0BF6" w:rsidP="0079456D">
            <w:pPr>
              <w:pStyle w:val="Seznamzkratek"/>
              <w:rPr>
                <w:b/>
              </w:rPr>
            </w:pPr>
            <w:r w:rsidRPr="00833C3C">
              <w:rPr>
                <w:b/>
              </w:rPr>
              <w:t>EH</w:t>
            </w:r>
          </w:p>
        </w:tc>
        <w:tc>
          <w:tcPr>
            <w:tcW w:w="7540" w:type="dxa"/>
          </w:tcPr>
          <w:p w14:paraId="5A5A93D3" w14:textId="77777777" w:rsidR="00EB0BF6" w:rsidRPr="00833C3C" w:rsidRDefault="00EB0BF6" w:rsidP="0079456D">
            <w:pPr>
              <w:pStyle w:val="Seznamzkratek"/>
            </w:pPr>
            <w:r w:rsidRPr="00833C3C">
              <w:t>ekonomické hodnocení</w:t>
            </w:r>
          </w:p>
        </w:tc>
      </w:tr>
      <w:tr w:rsidR="00252396" w:rsidRPr="00331E6D" w14:paraId="4BC02EE3" w14:textId="77777777" w:rsidTr="0079456D">
        <w:tc>
          <w:tcPr>
            <w:tcW w:w="850" w:type="dxa"/>
          </w:tcPr>
          <w:p w14:paraId="66873ED7" w14:textId="6D040539" w:rsidR="00252396" w:rsidRPr="00833C3C" w:rsidRDefault="00252396" w:rsidP="0079456D">
            <w:pPr>
              <w:pStyle w:val="Seznamzkratek"/>
              <w:rPr>
                <w:b/>
              </w:rPr>
            </w:pPr>
            <w:r w:rsidRPr="00833C3C">
              <w:rPr>
                <w:b/>
              </w:rPr>
              <w:t>EOV</w:t>
            </w:r>
          </w:p>
        </w:tc>
        <w:tc>
          <w:tcPr>
            <w:tcW w:w="7540" w:type="dxa"/>
          </w:tcPr>
          <w:p w14:paraId="6D82BE01" w14:textId="0D8D51ED" w:rsidR="00252396" w:rsidRPr="00833C3C" w:rsidRDefault="00833C3C" w:rsidP="0079456D">
            <w:pPr>
              <w:pStyle w:val="Seznamzkratek"/>
            </w:pPr>
            <w:r w:rsidRPr="00833C3C">
              <w:t>elektrický ohřev výhybek</w:t>
            </w:r>
          </w:p>
        </w:tc>
      </w:tr>
      <w:tr w:rsidR="00252396" w:rsidRPr="00331E6D" w14:paraId="27D04B8E" w14:textId="77777777" w:rsidTr="0079456D">
        <w:tc>
          <w:tcPr>
            <w:tcW w:w="850" w:type="dxa"/>
          </w:tcPr>
          <w:p w14:paraId="41AACD20" w14:textId="5B8D3F05" w:rsidR="00252396" w:rsidRPr="00B22C0A" w:rsidRDefault="0025239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EPZ</w:t>
            </w:r>
          </w:p>
        </w:tc>
        <w:tc>
          <w:tcPr>
            <w:tcW w:w="7540" w:type="dxa"/>
          </w:tcPr>
          <w:p w14:paraId="508C0CB5" w14:textId="79996A49" w:rsidR="00833C3C" w:rsidRPr="00B22C0A" w:rsidRDefault="00B22C0A" w:rsidP="0079456D">
            <w:pPr>
              <w:pStyle w:val="Seznamzkratek"/>
            </w:pPr>
            <w:r w:rsidRPr="00B22C0A">
              <w:t>elektrické předtápěcí zařízení</w:t>
            </w:r>
          </w:p>
        </w:tc>
      </w:tr>
      <w:tr w:rsidR="00252396" w:rsidRPr="00331E6D" w14:paraId="7F92E7E7" w14:textId="77777777" w:rsidTr="0079456D">
        <w:tc>
          <w:tcPr>
            <w:tcW w:w="850" w:type="dxa"/>
          </w:tcPr>
          <w:p w14:paraId="60CFF77D" w14:textId="1EE1AF07" w:rsidR="00252396" w:rsidRPr="00B22C0A" w:rsidRDefault="0025239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ETCS</w:t>
            </w:r>
          </w:p>
        </w:tc>
        <w:tc>
          <w:tcPr>
            <w:tcW w:w="7540" w:type="dxa"/>
          </w:tcPr>
          <w:p w14:paraId="4B1FD840" w14:textId="77777777" w:rsidR="00833C3C" w:rsidRPr="00B22C0A" w:rsidRDefault="00833C3C" w:rsidP="00833C3C">
            <w:pPr>
              <w:pStyle w:val="Seznamzkratek"/>
            </w:pPr>
            <w:r w:rsidRPr="00B22C0A">
              <w:t>evropský vlakový zabezpečovací systém</w:t>
            </w:r>
          </w:p>
          <w:p w14:paraId="25566CA6" w14:textId="00FA7F6F" w:rsidR="00C4148B" w:rsidRPr="00B22C0A" w:rsidRDefault="00833C3C" w:rsidP="00833C3C">
            <w:pPr>
              <w:pStyle w:val="Seznamzkratek"/>
            </w:pPr>
            <w:r w:rsidRPr="00B22C0A">
              <w:t xml:space="preserve">european train control </w:t>
            </w:r>
            <w:r w:rsidR="00C4148B">
              <w:t>systém</w:t>
            </w:r>
          </w:p>
        </w:tc>
      </w:tr>
      <w:tr w:rsidR="00C4148B" w:rsidRPr="00331E6D" w14:paraId="3886D41E" w14:textId="77777777" w:rsidTr="0079456D">
        <w:tc>
          <w:tcPr>
            <w:tcW w:w="850" w:type="dxa"/>
          </w:tcPr>
          <w:p w14:paraId="499232C3" w14:textId="71C0F699" w:rsidR="00C4148B" w:rsidRPr="00B22C0A" w:rsidRDefault="00C4148B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Ex</w:t>
            </w:r>
          </w:p>
        </w:tc>
        <w:tc>
          <w:tcPr>
            <w:tcW w:w="7540" w:type="dxa"/>
          </w:tcPr>
          <w:p w14:paraId="08B23ACF" w14:textId="214EE9B7" w:rsidR="00C4148B" w:rsidRPr="00B22C0A" w:rsidRDefault="00C4148B" w:rsidP="00833C3C">
            <w:pPr>
              <w:pStyle w:val="Seznamzkratek"/>
            </w:pPr>
            <w:r>
              <w:t>expresní vlak</w:t>
            </w:r>
          </w:p>
        </w:tc>
      </w:tr>
      <w:tr w:rsidR="00EB0BF6" w:rsidRPr="00331E6D" w14:paraId="000B7BA4" w14:textId="77777777" w:rsidTr="0079456D">
        <w:tc>
          <w:tcPr>
            <w:tcW w:w="850" w:type="dxa"/>
          </w:tcPr>
          <w:p w14:paraId="79D35D5C" w14:textId="77777777" w:rsidR="00EB0BF6" w:rsidRPr="00B22C0A" w:rsidRDefault="00EB0BF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FA</w:t>
            </w:r>
          </w:p>
        </w:tc>
        <w:tc>
          <w:tcPr>
            <w:tcW w:w="7540" w:type="dxa"/>
          </w:tcPr>
          <w:p w14:paraId="3CB17CBF" w14:textId="77777777" w:rsidR="00EB0BF6" w:rsidRPr="00B22C0A" w:rsidRDefault="00EB0BF6" w:rsidP="0079456D">
            <w:pPr>
              <w:pStyle w:val="Seznamzkratek"/>
            </w:pPr>
            <w:r w:rsidRPr="00B22C0A">
              <w:t>finanční analýza</w:t>
            </w:r>
          </w:p>
        </w:tc>
      </w:tr>
      <w:tr w:rsidR="00EB0BF6" w:rsidRPr="00331E6D" w14:paraId="3722196B" w14:textId="77777777" w:rsidTr="0079456D">
        <w:tc>
          <w:tcPr>
            <w:tcW w:w="850" w:type="dxa"/>
          </w:tcPr>
          <w:p w14:paraId="5392E44C" w14:textId="77777777" w:rsidR="00EB0BF6" w:rsidRPr="00B22C0A" w:rsidRDefault="00EB0BF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FNPV</w:t>
            </w:r>
          </w:p>
        </w:tc>
        <w:tc>
          <w:tcPr>
            <w:tcW w:w="7540" w:type="dxa"/>
          </w:tcPr>
          <w:p w14:paraId="454D0769" w14:textId="77777777" w:rsidR="00EB0BF6" w:rsidRPr="00B22C0A" w:rsidRDefault="00EB0BF6" w:rsidP="0079456D">
            <w:pPr>
              <w:pStyle w:val="Seznamzkratek"/>
            </w:pPr>
            <w:r w:rsidRPr="00B22C0A">
              <w:t>finanční čistá současná hodnota</w:t>
            </w:r>
            <w:r w:rsidRPr="00B22C0A">
              <w:br/>
            </w:r>
            <w:r w:rsidRPr="00B22C0A">
              <w:rPr>
                <w:i/>
              </w:rPr>
              <w:t>financial net present value</w:t>
            </w:r>
          </w:p>
        </w:tc>
      </w:tr>
      <w:tr w:rsidR="00EB0BF6" w:rsidRPr="00331E6D" w14:paraId="46351C0B" w14:textId="77777777" w:rsidTr="0079456D">
        <w:tc>
          <w:tcPr>
            <w:tcW w:w="850" w:type="dxa"/>
          </w:tcPr>
          <w:p w14:paraId="3235E248" w14:textId="77777777" w:rsidR="00EB0BF6" w:rsidRPr="00B22C0A" w:rsidRDefault="00EB0BF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FRR</w:t>
            </w:r>
          </w:p>
        </w:tc>
        <w:tc>
          <w:tcPr>
            <w:tcW w:w="7540" w:type="dxa"/>
          </w:tcPr>
          <w:p w14:paraId="5836B7C6" w14:textId="77777777" w:rsidR="00EB0BF6" w:rsidRPr="00B22C0A" w:rsidRDefault="00EB0BF6" w:rsidP="0079456D">
            <w:pPr>
              <w:pStyle w:val="Seznamzkratek"/>
            </w:pPr>
            <w:r w:rsidRPr="00B22C0A">
              <w:t>finanční vnitřní výnosové procento</w:t>
            </w:r>
            <w:r w:rsidRPr="00B22C0A">
              <w:br/>
            </w:r>
            <w:r w:rsidRPr="00B22C0A">
              <w:rPr>
                <w:i/>
              </w:rPr>
              <w:t>financial internal rate of return</w:t>
            </w:r>
          </w:p>
        </w:tc>
      </w:tr>
      <w:tr w:rsidR="00252396" w:rsidRPr="00331E6D" w14:paraId="02EEC7F9" w14:textId="77777777" w:rsidTr="0079456D">
        <w:tc>
          <w:tcPr>
            <w:tcW w:w="850" w:type="dxa"/>
          </w:tcPr>
          <w:p w14:paraId="23C141F2" w14:textId="28929E84" w:rsidR="00252396" w:rsidRPr="00B22C0A" w:rsidRDefault="0025239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GSM-R</w:t>
            </w:r>
          </w:p>
        </w:tc>
        <w:tc>
          <w:tcPr>
            <w:tcW w:w="7540" w:type="dxa"/>
          </w:tcPr>
          <w:p w14:paraId="6AEB97AB" w14:textId="77777777" w:rsidR="00252396" w:rsidRPr="00B22C0A" w:rsidRDefault="00833C3C" w:rsidP="0079456D">
            <w:pPr>
              <w:pStyle w:val="Seznamzkratek"/>
            </w:pPr>
            <w:r w:rsidRPr="00B22C0A">
              <w:t>globální systém pro mobilní komunikace pro železniční aplikace</w:t>
            </w:r>
          </w:p>
          <w:p w14:paraId="480BACBE" w14:textId="04C9428D" w:rsidR="00833C3C" w:rsidRPr="00B22C0A" w:rsidRDefault="00833C3C" w:rsidP="0079456D">
            <w:pPr>
              <w:pStyle w:val="Seznamzkratek"/>
            </w:pPr>
            <w:r w:rsidRPr="00B22C0A">
              <w:rPr>
                <w:szCs w:val="16"/>
              </w:rPr>
              <w:t>global system for mobile communications – railway</w:t>
            </w:r>
          </w:p>
        </w:tc>
      </w:tr>
      <w:tr w:rsidR="00C8657D" w:rsidRPr="00331E6D" w14:paraId="1A3BBC63" w14:textId="77777777" w:rsidTr="0079456D">
        <w:tc>
          <w:tcPr>
            <w:tcW w:w="850" w:type="dxa"/>
          </w:tcPr>
          <w:p w14:paraId="6535DBCE" w14:textId="11DA35F7" w:rsidR="00C8657D" w:rsidRPr="00B22C0A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GVD</w:t>
            </w:r>
          </w:p>
        </w:tc>
        <w:tc>
          <w:tcPr>
            <w:tcW w:w="7540" w:type="dxa"/>
          </w:tcPr>
          <w:p w14:paraId="5E3E61D3" w14:textId="067A17FE" w:rsidR="00C8657D" w:rsidRPr="00B22C0A" w:rsidRDefault="00C4148B" w:rsidP="0079456D">
            <w:pPr>
              <w:pStyle w:val="Seznamzkratek"/>
            </w:pPr>
            <w:r w:rsidRPr="00AD6224">
              <w:t>grafikon vlakové dopravy</w:t>
            </w:r>
          </w:p>
        </w:tc>
      </w:tr>
      <w:tr w:rsidR="00EB0BF6" w:rsidRPr="00331E6D" w14:paraId="7EC6B3E8" w14:textId="77777777" w:rsidTr="0079456D">
        <w:tc>
          <w:tcPr>
            <w:tcW w:w="850" w:type="dxa"/>
          </w:tcPr>
          <w:p w14:paraId="24BE4CB8" w14:textId="77777777" w:rsidR="00EB0BF6" w:rsidRPr="00B22C0A" w:rsidRDefault="00EB0BF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IRR</w:t>
            </w:r>
          </w:p>
        </w:tc>
        <w:tc>
          <w:tcPr>
            <w:tcW w:w="7540" w:type="dxa"/>
          </w:tcPr>
          <w:p w14:paraId="3391E338" w14:textId="77777777" w:rsidR="00EB0BF6" w:rsidRPr="00B22C0A" w:rsidRDefault="00EB0BF6" w:rsidP="0079456D">
            <w:pPr>
              <w:pStyle w:val="Seznamzkratek"/>
              <w:rPr>
                <w:i/>
              </w:rPr>
            </w:pPr>
            <w:r w:rsidRPr="00B22C0A">
              <w:t>vnitřní výnosové procento</w:t>
            </w:r>
            <w:r w:rsidRPr="00B22C0A">
              <w:br/>
            </w:r>
            <w:r w:rsidRPr="00B22C0A">
              <w:rPr>
                <w:i/>
              </w:rPr>
              <w:t>internal rate of return</w:t>
            </w:r>
          </w:p>
        </w:tc>
      </w:tr>
      <w:tr w:rsidR="00252396" w:rsidRPr="00331E6D" w14:paraId="07EB2919" w14:textId="77777777" w:rsidTr="0079456D">
        <w:tc>
          <w:tcPr>
            <w:tcW w:w="850" w:type="dxa"/>
          </w:tcPr>
          <w:p w14:paraId="5AB7D0E1" w14:textId="00EE203F" w:rsidR="00252396" w:rsidRPr="00B22C0A" w:rsidRDefault="0025239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LED</w:t>
            </w:r>
          </w:p>
        </w:tc>
        <w:tc>
          <w:tcPr>
            <w:tcW w:w="7540" w:type="dxa"/>
          </w:tcPr>
          <w:p w14:paraId="753F6BA5" w14:textId="64EDCD7C" w:rsidR="00252396" w:rsidRPr="00B22C0A" w:rsidRDefault="00833C3C" w:rsidP="0079456D">
            <w:pPr>
              <w:pStyle w:val="Seznamzkratek"/>
            </w:pPr>
            <w:r w:rsidRPr="00B22C0A">
              <w:t>světelná dioda</w:t>
            </w:r>
          </w:p>
          <w:p w14:paraId="58D53F53" w14:textId="660113B0" w:rsidR="00833C3C" w:rsidRPr="00B22C0A" w:rsidRDefault="00833C3C" w:rsidP="0079456D">
            <w:pPr>
              <w:pStyle w:val="Seznamzkratek"/>
            </w:pPr>
            <w:r w:rsidRPr="00B22C0A">
              <w:t>light – emitting diode</w:t>
            </w:r>
          </w:p>
        </w:tc>
      </w:tr>
      <w:tr w:rsidR="006644F9" w:rsidRPr="00331E6D" w14:paraId="23461912" w14:textId="77777777" w:rsidTr="0079456D">
        <w:tc>
          <w:tcPr>
            <w:tcW w:w="850" w:type="dxa"/>
          </w:tcPr>
          <w:p w14:paraId="7A628937" w14:textId="05612791" w:rsidR="006644F9" w:rsidRPr="00B22C0A" w:rsidRDefault="006644F9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MD</w:t>
            </w:r>
          </w:p>
        </w:tc>
        <w:tc>
          <w:tcPr>
            <w:tcW w:w="7540" w:type="dxa"/>
          </w:tcPr>
          <w:p w14:paraId="3136ED9B" w14:textId="1BB5FB2D" w:rsidR="006644F9" w:rsidRPr="00B22C0A" w:rsidRDefault="006644F9" w:rsidP="0079456D">
            <w:pPr>
              <w:pStyle w:val="Seznamzkratek"/>
            </w:pPr>
            <w:r>
              <w:t>Ministerstvo dopravy</w:t>
            </w:r>
          </w:p>
        </w:tc>
      </w:tr>
      <w:tr w:rsidR="00EB0BF6" w:rsidRPr="00331E6D" w14:paraId="5F4A09F1" w14:textId="77777777" w:rsidTr="0079456D">
        <w:tc>
          <w:tcPr>
            <w:tcW w:w="850" w:type="dxa"/>
          </w:tcPr>
          <w:p w14:paraId="27F0BFF2" w14:textId="77777777" w:rsidR="00EB0BF6" w:rsidRPr="00B22C0A" w:rsidRDefault="00EB0BF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MKA</w:t>
            </w:r>
          </w:p>
        </w:tc>
        <w:tc>
          <w:tcPr>
            <w:tcW w:w="7540" w:type="dxa"/>
          </w:tcPr>
          <w:p w14:paraId="5A0079B5" w14:textId="77777777" w:rsidR="00EB0BF6" w:rsidRPr="00B22C0A" w:rsidRDefault="00EB0BF6" w:rsidP="0079456D">
            <w:pPr>
              <w:pStyle w:val="Seznamzkratek"/>
            </w:pPr>
            <w:r w:rsidRPr="00B22C0A">
              <w:t>multikriteriální analýza</w:t>
            </w:r>
          </w:p>
        </w:tc>
      </w:tr>
      <w:tr w:rsidR="00C4148B" w:rsidRPr="00331E6D" w14:paraId="7E06E0E0" w14:textId="77777777" w:rsidTr="0079456D">
        <w:tc>
          <w:tcPr>
            <w:tcW w:w="850" w:type="dxa"/>
          </w:tcPr>
          <w:p w14:paraId="332A6594" w14:textId="346FBA75" w:rsidR="00C4148B" w:rsidRPr="00B22C0A" w:rsidRDefault="00C4148B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Mn</w:t>
            </w:r>
          </w:p>
        </w:tc>
        <w:tc>
          <w:tcPr>
            <w:tcW w:w="7540" w:type="dxa"/>
          </w:tcPr>
          <w:p w14:paraId="7C87BA66" w14:textId="0EB2A911" w:rsidR="00C4148B" w:rsidRPr="00B22C0A" w:rsidRDefault="00C4148B" w:rsidP="0079456D">
            <w:pPr>
              <w:pStyle w:val="Seznamzkratek"/>
            </w:pPr>
            <w:r>
              <w:t>manipulační vlak</w:t>
            </w:r>
          </w:p>
        </w:tc>
      </w:tr>
      <w:tr w:rsidR="00C8657D" w:rsidRPr="00331E6D" w14:paraId="52908E4C" w14:textId="77777777" w:rsidTr="0079456D">
        <w:tc>
          <w:tcPr>
            <w:tcW w:w="850" w:type="dxa"/>
          </w:tcPr>
          <w:p w14:paraId="4A3F5F44" w14:textId="31A9718B" w:rsidR="00C8657D" w:rsidRPr="00B22C0A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Nex</w:t>
            </w:r>
          </w:p>
        </w:tc>
        <w:tc>
          <w:tcPr>
            <w:tcW w:w="7540" w:type="dxa"/>
          </w:tcPr>
          <w:p w14:paraId="7C3684C6" w14:textId="3D4AA433" w:rsidR="00C8657D" w:rsidRPr="00B22C0A" w:rsidRDefault="00C4148B" w:rsidP="0079456D">
            <w:pPr>
              <w:pStyle w:val="Seznamzkratek"/>
            </w:pPr>
            <w:r>
              <w:t>expresní nákladní vlak</w:t>
            </w:r>
          </w:p>
        </w:tc>
      </w:tr>
      <w:tr w:rsidR="00252396" w:rsidRPr="00331E6D" w14:paraId="0E323AC3" w14:textId="77777777" w:rsidTr="0079456D">
        <w:tc>
          <w:tcPr>
            <w:tcW w:w="850" w:type="dxa"/>
          </w:tcPr>
          <w:p w14:paraId="40F8A00C" w14:textId="06C27BFB" w:rsidR="00252396" w:rsidRPr="00B22C0A" w:rsidRDefault="0025239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NN</w:t>
            </w:r>
          </w:p>
        </w:tc>
        <w:tc>
          <w:tcPr>
            <w:tcW w:w="7540" w:type="dxa"/>
          </w:tcPr>
          <w:p w14:paraId="1D20CBAC" w14:textId="51363B30" w:rsidR="00252396" w:rsidRPr="00B22C0A" w:rsidRDefault="0017721E" w:rsidP="0079456D">
            <w:pPr>
              <w:pStyle w:val="Seznamzkratek"/>
            </w:pPr>
            <w:r w:rsidRPr="00B22C0A">
              <w:t>nízké napětí</w:t>
            </w:r>
          </w:p>
        </w:tc>
      </w:tr>
      <w:tr w:rsidR="00EB0BF6" w:rsidRPr="00D75EBC" w14:paraId="701BFE93" w14:textId="77777777" w:rsidTr="0079456D">
        <w:tc>
          <w:tcPr>
            <w:tcW w:w="850" w:type="dxa"/>
          </w:tcPr>
          <w:p w14:paraId="366C3FB0" w14:textId="77777777" w:rsidR="00EB0BF6" w:rsidRPr="00B22C0A" w:rsidRDefault="00EB0BF6" w:rsidP="0079456D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NPV</w:t>
            </w:r>
          </w:p>
        </w:tc>
        <w:tc>
          <w:tcPr>
            <w:tcW w:w="7540" w:type="dxa"/>
          </w:tcPr>
          <w:p w14:paraId="71D4144F" w14:textId="77777777" w:rsidR="00EB0BF6" w:rsidRPr="00B22C0A" w:rsidRDefault="00EB0BF6" w:rsidP="0079456D">
            <w:pPr>
              <w:pStyle w:val="Seznamzkratek"/>
            </w:pPr>
            <w:r w:rsidRPr="00B22C0A">
              <w:t>čistá současná hodnota</w:t>
            </w:r>
            <w:r w:rsidRPr="00B22C0A">
              <w:br/>
            </w:r>
            <w:r w:rsidRPr="00B22C0A">
              <w:rPr>
                <w:i/>
              </w:rPr>
              <w:t>net present value</w:t>
            </w:r>
          </w:p>
        </w:tc>
      </w:tr>
      <w:tr w:rsidR="00C8657D" w:rsidRPr="00D75EBC" w14:paraId="1F893AF7" w14:textId="77777777" w:rsidTr="0079456D">
        <w:tc>
          <w:tcPr>
            <w:tcW w:w="850" w:type="dxa"/>
          </w:tcPr>
          <w:p w14:paraId="5EAAF4E7" w14:textId="0D68EFA5" w:rsidR="00C8657D" w:rsidRPr="00B22C0A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Os</w:t>
            </w:r>
          </w:p>
        </w:tc>
        <w:tc>
          <w:tcPr>
            <w:tcW w:w="7540" w:type="dxa"/>
          </w:tcPr>
          <w:p w14:paraId="5F8229C4" w14:textId="2D076F91" w:rsidR="00C8657D" w:rsidRPr="00B22C0A" w:rsidRDefault="00C4148B" w:rsidP="0079456D">
            <w:pPr>
              <w:pStyle w:val="Seznamzkratek"/>
            </w:pPr>
            <w:r>
              <w:t>Osobní vlak</w:t>
            </w:r>
          </w:p>
        </w:tc>
      </w:tr>
      <w:tr w:rsidR="00C8657D" w:rsidRPr="00D75EBC" w14:paraId="4D34A5A9" w14:textId="77777777" w:rsidTr="0079456D">
        <w:tc>
          <w:tcPr>
            <w:tcW w:w="850" w:type="dxa"/>
          </w:tcPr>
          <w:p w14:paraId="743EA7C0" w14:textId="2A6A9066" w:rsidR="00C8657D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Pn</w:t>
            </w:r>
          </w:p>
        </w:tc>
        <w:tc>
          <w:tcPr>
            <w:tcW w:w="7540" w:type="dxa"/>
          </w:tcPr>
          <w:p w14:paraId="22B6785F" w14:textId="77A07B80" w:rsidR="00C8657D" w:rsidRPr="00B22C0A" w:rsidRDefault="00C4148B" w:rsidP="0079456D">
            <w:pPr>
              <w:pStyle w:val="Seznamzkratek"/>
            </w:pPr>
            <w:r>
              <w:t>průběžný nákladní vlak</w:t>
            </w:r>
          </w:p>
        </w:tc>
      </w:tr>
      <w:tr w:rsidR="00C8657D" w:rsidRPr="00D75EBC" w14:paraId="2E240F55" w14:textId="77777777" w:rsidTr="0079456D">
        <w:tc>
          <w:tcPr>
            <w:tcW w:w="850" w:type="dxa"/>
          </w:tcPr>
          <w:p w14:paraId="1EF325F2" w14:textId="2DCABF90" w:rsidR="00C8657D" w:rsidRPr="00B22C0A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7540" w:type="dxa"/>
          </w:tcPr>
          <w:p w14:paraId="71037ECA" w14:textId="1B29AD36" w:rsidR="00C8657D" w:rsidRPr="00B22C0A" w:rsidRDefault="00C4148B" w:rsidP="0079456D">
            <w:pPr>
              <w:pStyle w:val="Seznamzkratek"/>
            </w:pPr>
            <w:r>
              <w:t>rychlík</w:t>
            </w:r>
          </w:p>
        </w:tc>
      </w:tr>
      <w:tr w:rsidR="00C8657D" w:rsidRPr="00D75EBC" w14:paraId="12A0BD07" w14:textId="77777777" w:rsidTr="0079456D">
        <w:tc>
          <w:tcPr>
            <w:tcW w:w="850" w:type="dxa"/>
          </w:tcPr>
          <w:p w14:paraId="7F4FF21E" w14:textId="79C417E3" w:rsidR="00C8657D" w:rsidRPr="00B22C0A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RZZ</w:t>
            </w:r>
          </w:p>
        </w:tc>
        <w:tc>
          <w:tcPr>
            <w:tcW w:w="7540" w:type="dxa"/>
          </w:tcPr>
          <w:p w14:paraId="39086894" w14:textId="2569BE14" w:rsidR="00C8657D" w:rsidRPr="00B22C0A" w:rsidRDefault="00C4148B" w:rsidP="0079456D">
            <w:pPr>
              <w:pStyle w:val="Seznamzkratek"/>
            </w:pPr>
            <w:r>
              <w:t>reléové zabezpečovací zařízení</w:t>
            </w:r>
          </w:p>
        </w:tc>
      </w:tr>
      <w:tr w:rsidR="00F328BF" w:rsidRPr="00D75EBC" w14:paraId="096E5056" w14:textId="77777777" w:rsidTr="0079456D">
        <w:tc>
          <w:tcPr>
            <w:tcW w:w="850" w:type="dxa"/>
          </w:tcPr>
          <w:p w14:paraId="16144AA4" w14:textId="07BDC13C" w:rsidR="00F328BF" w:rsidRDefault="00F328BF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SFDI</w:t>
            </w:r>
          </w:p>
        </w:tc>
        <w:tc>
          <w:tcPr>
            <w:tcW w:w="7540" w:type="dxa"/>
          </w:tcPr>
          <w:p w14:paraId="23803B43" w14:textId="0AAA21ED" w:rsidR="00F328BF" w:rsidRDefault="00F328BF" w:rsidP="0079456D">
            <w:pPr>
              <w:pStyle w:val="Seznamzkratek"/>
            </w:pPr>
            <w:r>
              <w:t>Státní fond dopravní infrastruktury</w:t>
            </w:r>
          </w:p>
        </w:tc>
      </w:tr>
      <w:tr w:rsidR="00C8657D" w:rsidRPr="00D75EBC" w14:paraId="0AED9ADC" w14:textId="77777777" w:rsidTr="0079456D">
        <w:tc>
          <w:tcPr>
            <w:tcW w:w="850" w:type="dxa"/>
          </w:tcPr>
          <w:p w14:paraId="0F2AEC02" w14:textId="128CCE80" w:rsidR="00C8657D" w:rsidRDefault="00C8657D" w:rsidP="0079456D">
            <w:pPr>
              <w:pStyle w:val="Seznamzkratek"/>
              <w:rPr>
                <w:b/>
              </w:rPr>
            </w:pPr>
            <w:r>
              <w:rPr>
                <w:b/>
              </w:rPr>
              <w:t>Sp</w:t>
            </w:r>
          </w:p>
        </w:tc>
        <w:tc>
          <w:tcPr>
            <w:tcW w:w="7540" w:type="dxa"/>
          </w:tcPr>
          <w:p w14:paraId="7CACC424" w14:textId="3853B398" w:rsidR="00C8657D" w:rsidRPr="00B22C0A" w:rsidRDefault="00C4148B" w:rsidP="0079456D">
            <w:pPr>
              <w:pStyle w:val="Seznamzkratek"/>
            </w:pPr>
            <w:r>
              <w:t>spěšný vlak</w:t>
            </w:r>
          </w:p>
        </w:tc>
      </w:tr>
      <w:tr w:rsidR="00B22C0A" w:rsidRPr="00D75EBC" w14:paraId="76B9DAC3" w14:textId="77777777" w:rsidTr="0079456D">
        <w:tc>
          <w:tcPr>
            <w:tcW w:w="850" w:type="dxa"/>
          </w:tcPr>
          <w:p w14:paraId="2F1063D2" w14:textId="2315F135" w:rsidR="00B22C0A" w:rsidRPr="00B22C0A" w:rsidRDefault="00B22C0A" w:rsidP="00B22C0A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SZZ</w:t>
            </w:r>
          </w:p>
        </w:tc>
        <w:tc>
          <w:tcPr>
            <w:tcW w:w="7540" w:type="dxa"/>
          </w:tcPr>
          <w:p w14:paraId="22D23EA4" w14:textId="531A8EBA" w:rsidR="00C8657D" w:rsidRPr="00B22C0A" w:rsidRDefault="00B22C0A" w:rsidP="00B22C0A">
            <w:pPr>
              <w:pStyle w:val="Seznamzkratek"/>
            </w:pPr>
            <w:r w:rsidRPr="00B22C0A">
              <w:t>staniční zabezpečovací zařízení</w:t>
            </w:r>
          </w:p>
        </w:tc>
      </w:tr>
      <w:tr w:rsidR="00C8657D" w:rsidRPr="00D75EBC" w14:paraId="1E0E6E56" w14:textId="77777777" w:rsidTr="0079456D">
        <w:tc>
          <w:tcPr>
            <w:tcW w:w="850" w:type="dxa"/>
          </w:tcPr>
          <w:p w14:paraId="40B17F08" w14:textId="6E47DB71" w:rsidR="00C8657D" w:rsidRPr="00B22C0A" w:rsidRDefault="00C8657D" w:rsidP="00B22C0A">
            <w:pPr>
              <w:pStyle w:val="Seznamzkratek"/>
              <w:rPr>
                <w:b/>
              </w:rPr>
            </w:pPr>
            <w:r>
              <w:rPr>
                <w:b/>
              </w:rPr>
              <w:t>TEN-T</w:t>
            </w:r>
          </w:p>
        </w:tc>
        <w:tc>
          <w:tcPr>
            <w:tcW w:w="7540" w:type="dxa"/>
          </w:tcPr>
          <w:p w14:paraId="1B76F6C0" w14:textId="0632E7F8" w:rsidR="00C8657D" w:rsidRDefault="00C4148B" w:rsidP="00B22C0A">
            <w:pPr>
              <w:pStyle w:val="Seznamzkratek"/>
            </w:pPr>
            <w:r>
              <w:t>transevropská dopravní síť</w:t>
            </w:r>
          </w:p>
          <w:p w14:paraId="74633C55" w14:textId="6DD6E1A6" w:rsidR="00C4148B" w:rsidRPr="00C4148B" w:rsidRDefault="00C4148B" w:rsidP="00B22C0A">
            <w:pPr>
              <w:pStyle w:val="Seznamzkratek"/>
              <w:rPr>
                <w:i/>
              </w:rPr>
            </w:pPr>
            <w:r w:rsidRPr="00C4148B">
              <w:rPr>
                <w:i/>
              </w:rPr>
              <w:t>Trans-European Transport Networks</w:t>
            </w:r>
          </w:p>
        </w:tc>
      </w:tr>
      <w:tr w:rsidR="00B22C0A" w:rsidRPr="00331E6D" w14:paraId="43E9DBB5" w14:textId="77777777" w:rsidTr="0079456D">
        <w:tc>
          <w:tcPr>
            <w:tcW w:w="850" w:type="dxa"/>
          </w:tcPr>
          <w:p w14:paraId="6635DAEA" w14:textId="04042724" w:rsidR="00B22C0A" w:rsidRPr="00B22C0A" w:rsidRDefault="00B22C0A" w:rsidP="00B22C0A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VN</w:t>
            </w:r>
          </w:p>
        </w:tc>
        <w:tc>
          <w:tcPr>
            <w:tcW w:w="7540" w:type="dxa"/>
          </w:tcPr>
          <w:p w14:paraId="3B1C3353" w14:textId="20E2E8E9" w:rsidR="00B22C0A" w:rsidRPr="00B22C0A" w:rsidRDefault="00B22C0A" w:rsidP="00B22C0A">
            <w:pPr>
              <w:pStyle w:val="Seznamzkratek"/>
            </w:pPr>
            <w:r w:rsidRPr="00B22C0A">
              <w:t>vysoké napětí</w:t>
            </w:r>
          </w:p>
        </w:tc>
      </w:tr>
      <w:tr w:rsidR="00B22C0A" w:rsidRPr="00331E6D" w14:paraId="182008E6" w14:textId="77777777" w:rsidTr="0079456D">
        <w:tc>
          <w:tcPr>
            <w:tcW w:w="850" w:type="dxa"/>
          </w:tcPr>
          <w:p w14:paraId="1690CEC6" w14:textId="26BA4E10" w:rsidR="00B22C0A" w:rsidRPr="00B22C0A" w:rsidRDefault="00B22C0A" w:rsidP="00B22C0A">
            <w:pPr>
              <w:pStyle w:val="Seznamzkratek"/>
              <w:rPr>
                <w:b/>
              </w:rPr>
            </w:pPr>
            <w:r w:rsidRPr="00B22C0A">
              <w:rPr>
                <w:b/>
              </w:rPr>
              <w:t>ŽST</w:t>
            </w:r>
          </w:p>
        </w:tc>
        <w:tc>
          <w:tcPr>
            <w:tcW w:w="7540" w:type="dxa"/>
          </w:tcPr>
          <w:p w14:paraId="4C5947B0" w14:textId="77777777" w:rsidR="00B22C0A" w:rsidRPr="00B22C0A" w:rsidRDefault="00B22C0A" w:rsidP="00B22C0A">
            <w:pPr>
              <w:pStyle w:val="Seznamzkratek"/>
            </w:pPr>
            <w:r w:rsidRPr="00B22C0A">
              <w:t>železniční stanice</w:t>
            </w:r>
          </w:p>
        </w:tc>
      </w:tr>
    </w:tbl>
    <w:p w14:paraId="200230DB" w14:textId="77777777" w:rsidR="00465115" w:rsidRDefault="00465115"/>
    <w:p w14:paraId="0F18F81C" w14:textId="77777777" w:rsidR="00B114E0" w:rsidRDefault="00B114E0"/>
    <w:p w14:paraId="4BF306A3" w14:textId="77777777" w:rsidR="00B114E0" w:rsidRDefault="00B114E0">
      <w:pPr>
        <w:sectPr w:rsidR="00B114E0" w:rsidSect="005F4418"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45528B75" w14:textId="77777777" w:rsidR="00C618F7" w:rsidRDefault="006563D7" w:rsidP="007E3370">
      <w:pPr>
        <w:pStyle w:val="Nadpis1"/>
      </w:pPr>
      <w:bookmarkStart w:id="5" w:name="_Toc148597860"/>
      <w:r>
        <w:lastRenderedPageBreak/>
        <w:t>Identifikace projektu</w:t>
      </w:r>
      <w:bookmarkEnd w:id="5"/>
    </w:p>
    <w:tbl>
      <w:tblPr>
        <w:tblStyle w:val="PlainTable41"/>
        <w:tblW w:w="0" w:type="auto"/>
        <w:tblLook w:val="0600" w:firstRow="0" w:lastRow="0" w:firstColumn="0" w:lastColumn="0" w:noHBand="1" w:noVBand="1"/>
      </w:tblPr>
      <w:tblGrid>
        <w:gridCol w:w="3165"/>
        <w:gridCol w:w="5509"/>
      </w:tblGrid>
      <w:tr w:rsidR="003C2A33" w:rsidRPr="00854A05" w14:paraId="18E82181" w14:textId="77777777" w:rsidTr="0017508F">
        <w:trPr>
          <w:trHeight w:val="227"/>
        </w:trPr>
        <w:tc>
          <w:tcPr>
            <w:tcW w:w="3165" w:type="dxa"/>
          </w:tcPr>
          <w:p w14:paraId="0ABCE518" w14:textId="2BE2EDF3" w:rsidR="00C618F7" w:rsidRPr="00854A05" w:rsidRDefault="00C4148B" w:rsidP="003A0F35">
            <w:pPr>
              <w:rPr>
                <w:b/>
                <w:noProof/>
              </w:rPr>
            </w:pPr>
            <w:r>
              <w:rPr>
                <w:b/>
                <w:noProof/>
              </w:rPr>
              <w:t>Název projektu</w:t>
            </w:r>
            <w:r w:rsidR="00C618F7" w:rsidRPr="00854A05">
              <w:rPr>
                <w:b/>
                <w:noProof/>
              </w:rPr>
              <w:t>:</w:t>
            </w:r>
          </w:p>
        </w:tc>
        <w:tc>
          <w:tcPr>
            <w:tcW w:w="5509" w:type="dxa"/>
          </w:tcPr>
          <w:p w14:paraId="0BAD782E" w14:textId="6711328F" w:rsidR="00C618F7" w:rsidRPr="0038740D" w:rsidRDefault="003C2A33" w:rsidP="00AD699E">
            <w:pPr>
              <w:rPr>
                <w:b/>
                <w:noProof/>
                <w:highlight w:val="cyan"/>
              </w:rPr>
            </w:pPr>
            <w:r w:rsidRPr="003C2A33">
              <w:rPr>
                <w:b/>
                <w:noProof/>
              </w:rPr>
              <w:t>Rekonstrukce nástupišť v ŽST Valašské Meziříčí</w:t>
            </w:r>
          </w:p>
        </w:tc>
      </w:tr>
      <w:tr w:rsidR="005026BC" w:rsidRPr="00854A05" w14:paraId="7CA6BEAE" w14:textId="77777777" w:rsidTr="0017508F">
        <w:trPr>
          <w:trHeight w:val="227"/>
        </w:trPr>
        <w:tc>
          <w:tcPr>
            <w:tcW w:w="3165" w:type="dxa"/>
          </w:tcPr>
          <w:p w14:paraId="35918E4B" w14:textId="77777777" w:rsidR="005026BC" w:rsidRPr="00854A05" w:rsidRDefault="005026BC" w:rsidP="003A0F35">
            <w:pPr>
              <w:rPr>
                <w:b/>
                <w:noProof/>
              </w:rPr>
            </w:pPr>
          </w:p>
        </w:tc>
        <w:tc>
          <w:tcPr>
            <w:tcW w:w="5509" w:type="dxa"/>
          </w:tcPr>
          <w:p w14:paraId="2C0CA871" w14:textId="77777777" w:rsidR="005026BC" w:rsidRPr="003C2A33" w:rsidRDefault="005026BC" w:rsidP="00AD699E">
            <w:pPr>
              <w:rPr>
                <w:b/>
                <w:noProof/>
              </w:rPr>
            </w:pPr>
          </w:p>
        </w:tc>
      </w:tr>
      <w:tr w:rsidR="003C2A33" w:rsidRPr="00854A05" w14:paraId="297E44CC" w14:textId="77777777" w:rsidTr="0017508F">
        <w:trPr>
          <w:trHeight w:val="227"/>
        </w:trPr>
        <w:tc>
          <w:tcPr>
            <w:tcW w:w="3165" w:type="dxa"/>
          </w:tcPr>
          <w:p w14:paraId="1C5A0C76" w14:textId="7A1D88D4" w:rsidR="00B61D2A" w:rsidRPr="00854A05" w:rsidRDefault="005026BC" w:rsidP="00AD699E">
            <w:pPr>
              <w:rPr>
                <w:noProof/>
              </w:rPr>
            </w:pPr>
            <w:r>
              <w:rPr>
                <w:noProof/>
              </w:rPr>
              <w:t>ISPROFIN/ISPROFOND</w:t>
            </w:r>
          </w:p>
        </w:tc>
        <w:tc>
          <w:tcPr>
            <w:tcW w:w="5509" w:type="dxa"/>
          </w:tcPr>
          <w:p w14:paraId="459CBFFE" w14:textId="7FF6B54A" w:rsidR="00B61D2A" w:rsidRPr="005026BC" w:rsidRDefault="005026BC" w:rsidP="00AD699E">
            <w:pPr>
              <w:rPr>
                <w:noProof/>
                <w:highlight w:val="yellow"/>
              </w:rPr>
            </w:pPr>
            <w:r w:rsidRPr="001D40FC">
              <w:rPr>
                <w:noProof/>
              </w:rPr>
              <w:t>5723520029/3273214901</w:t>
            </w:r>
          </w:p>
        </w:tc>
      </w:tr>
      <w:tr w:rsidR="0017508F" w:rsidRPr="00854A05" w14:paraId="77CD898D" w14:textId="77777777" w:rsidTr="0017508F">
        <w:trPr>
          <w:trHeight w:val="227"/>
        </w:trPr>
        <w:tc>
          <w:tcPr>
            <w:tcW w:w="3165" w:type="dxa"/>
          </w:tcPr>
          <w:p w14:paraId="6AE98918" w14:textId="77777777" w:rsidR="0017508F" w:rsidRDefault="0017508F" w:rsidP="00AD699E">
            <w:pPr>
              <w:rPr>
                <w:noProof/>
              </w:rPr>
            </w:pPr>
          </w:p>
        </w:tc>
        <w:tc>
          <w:tcPr>
            <w:tcW w:w="5509" w:type="dxa"/>
          </w:tcPr>
          <w:p w14:paraId="1C3D5408" w14:textId="77777777" w:rsidR="0017508F" w:rsidRPr="005026BC" w:rsidRDefault="0017508F" w:rsidP="00AD699E">
            <w:pPr>
              <w:rPr>
                <w:noProof/>
                <w:highlight w:val="yellow"/>
              </w:rPr>
            </w:pPr>
          </w:p>
        </w:tc>
      </w:tr>
      <w:tr w:rsidR="003C2A33" w:rsidRPr="00854A05" w14:paraId="4EB39ECF" w14:textId="77777777" w:rsidTr="0017508F">
        <w:trPr>
          <w:trHeight w:val="227"/>
        </w:trPr>
        <w:tc>
          <w:tcPr>
            <w:tcW w:w="3165" w:type="dxa"/>
          </w:tcPr>
          <w:p w14:paraId="6C22118F" w14:textId="6FEA6792" w:rsidR="00C618F7" w:rsidRPr="00854A05" w:rsidRDefault="00C618F7" w:rsidP="0017508F">
            <w:pPr>
              <w:rPr>
                <w:noProof/>
              </w:rPr>
            </w:pPr>
            <w:r w:rsidRPr="00854A05">
              <w:rPr>
                <w:noProof/>
              </w:rPr>
              <w:t>Trať:</w:t>
            </w:r>
          </w:p>
        </w:tc>
        <w:tc>
          <w:tcPr>
            <w:tcW w:w="5509" w:type="dxa"/>
          </w:tcPr>
          <w:p w14:paraId="720897C7" w14:textId="392C2990" w:rsidR="00C618F7" w:rsidRPr="0038740D" w:rsidRDefault="005026BC" w:rsidP="00F061ED">
            <w:pPr>
              <w:rPr>
                <w:noProof/>
                <w:highlight w:val="cyan"/>
              </w:rPr>
            </w:pPr>
            <w:r w:rsidRPr="001A640E">
              <w:rPr>
                <w:noProof/>
              </w:rPr>
              <w:t xml:space="preserve">č. </w:t>
            </w:r>
            <w:r w:rsidR="001A640E" w:rsidRPr="001A640E">
              <w:t>280</w:t>
            </w:r>
            <w:r w:rsidR="001A640E">
              <w:t>,</w:t>
            </w:r>
            <w:r w:rsidR="0061213D">
              <w:t xml:space="preserve"> </w:t>
            </w:r>
            <w:r w:rsidR="001A640E">
              <w:t>281,</w:t>
            </w:r>
            <w:r w:rsidR="0061213D">
              <w:t xml:space="preserve"> </w:t>
            </w:r>
            <w:r w:rsidR="001A640E">
              <w:t>303,</w:t>
            </w:r>
            <w:r w:rsidR="0061213D">
              <w:t xml:space="preserve"> </w:t>
            </w:r>
            <w:r w:rsidR="001A640E">
              <w:t>323 (dle knižního jízdního řádu)</w:t>
            </w:r>
          </w:p>
        </w:tc>
      </w:tr>
      <w:tr w:rsidR="0017508F" w:rsidRPr="00854A05" w14:paraId="43393B5D" w14:textId="77777777" w:rsidTr="0017508F">
        <w:trPr>
          <w:trHeight w:val="227"/>
        </w:trPr>
        <w:tc>
          <w:tcPr>
            <w:tcW w:w="3165" w:type="dxa"/>
          </w:tcPr>
          <w:p w14:paraId="0FA2FC51" w14:textId="77777777" w:rsidR="0017508F" w:rsidRDefault="0017508F" w:rsidP="00AD699E">
            <w:pPr>
              <w:rPr>
                <w:noProof/>
              </w:rPr>
            </w:pPr>
          </w:p>
        </w:tc>
        <w:tc>
          <w:tcPr>
            <w:tcW w:w="5509" w:type="dxa"/>
          </w:tcPr>
          <w:p w14:paraId="7AB66B24" w14:textId="77777777" w:rsidR="0017508F" w:rsidRDefault="0017508F" w:rsidP="00F061ED">
            <w:pPr>
              <w:rPr>
                <w:noProof/>
                <w:highlight w:val="cyan"/>
              </w:rPr>
            </w:pPr>
          </w:p>
        </w:tc>
      </w:tr>
      <w:tr w:rsidR="003C2A33" w:rsidRPr="00854A05" w14:paraId="1AC0D93B" w14:textId="77777777" w:rsidTr="0017508F">
        <w:trPr>
          <w:trHeight w:val="227"/>
        </w:trPr>
        <w:tc>
          <w:tcPr>
            <w:tcW w:w="3165" w:type="dxa"/>
          </w:tcPr>
          <w:p w14:paraId="5BE04C3B" w14:textId="62095617" w:rsidR="003A0F35" w:rsidRPr="00854A05" w:rsidRDefault="005026BC" w:rsidP="00AD699E">
            <w:pPr>
              <w:rPr>
                <w:noProof/>
              </w:rPr>
            </w:pPr>
            <w:r>
              <w:rPr>
                <w:noProof/>
              </w:rPr>
              <w:t>Kraj:</w:t>
            </w:r>
          </w:p>
        </w:tc>
        <w:tc>
          <w:tcPr>
            <w:tcW w:w="5509" w:type="dxa"/>
          </w:tcPr>
          <w:p w14:paraId="46D955E4" w14:textId="18326F90" w:rsidR="003A0F35" w:rsidRPr="0038740D" w:rsidRDefault="00786167" w:rsidP="00F061ED">
            <w:pPr>
              <w:rPr>
                <w:noProof/>
                <w:highlight w:val="cyan"/>
              </w:rPr>
            </w:pPr>
            <w:r w:rsidRPr="00786167">
              <w:rPr>
                <w:noProof/>
              </w:rPr>
              <w:t>Zlín</w:t>
            </w:r>
            <w:r>
              <w:rPr>
                <w:noProof/>
              </w:rPr>
              <w:t>ský</w:t>
            </w:r>
          </w:p>
        </w:tc>
      </w:tr>
      <w:tr w:rsidR="003C2A33" w:rsidRPr="00854A05" w14:paraId="3BD44E5B" w14:textId="77777777" w:rsidTr="0017508F">
        <w:trPr>
          <w:trHeight w:val="227"/>
        </w:trPr>
        <w:tc>
          <w:tcPr>
            <w:tcW w:w="3165" w:type="dxa"/>
          </w:tcPr>
          <w:p w14:paraId="735A7842" w14:textId="4FD90AE4" w:rsidR="003A0F35" w:rsidRPr="00854A05" w:rsidRDefault="003A0F35" w:rsidP="00AD699E">
            <w:pPr>
              <w:rPr>
                <w:noProof/>
              </w:rPr>
            </w:pPr>
          </w:p>
        </w:tc>
        <w:tc>
          <w:tcPr>
            <w:tcW w:w="5509" w:type="dxa"/>
          </w:tcPr>
          <w:p w14:paraId="70C47548" w14:textId="7C15305B" w:rsidR="003A0F35" w:rsidRPr="0038740D" w:rsidRDefault="003A0F35" w:rsidP="00F061ED">
            <w:pPr>
              <w:rPr>
                <w:noProof/>
                <w:highlight w:val="cyan"/>
              </w:rPr>
            </w:pPr>
          </w:p>
        </w:tc>
      </w:tr>
      <w:tr w:rsidR="003C2A33" w:rsidRPr="00854A05" w14:paraId="7B396D50" w14:textId="77777777" w:rsidTr="0017508F">
        <w:trPr>
          <w:trHeight w:val="227"/>
        </w:trPr>
        <w:tc>
          <w:tcPr>
            <w:tcW w:w="3165" w:type="dxa"/>
          </w:tcPr>
          <w:p w14:paraId="28E5CFC6" w14:textId="77777777" w:rsidR="003A0F35" w:rsidRPr="00854A05" w:rsidRDefault="003A0F35" w:rsidP="003A0F35">
            <w:pPr>
              <w:rPr>
                <w:noProof/>
              </w:rPr>
            </w:pPr>
            <w:r w:rsidRPr="00854A05">
              <w:rPr>
                <w:noProof/>
              </w:rPr>
              <w:t>Předpokládaný termín realizace:</w:t>
            </w:r>
          </w:p>
        </w:tc>
        <w:tc>
          <w:tcPr>
            <w:tcW w:w="5509" w:type="dxa"/>
          </w:tcPr>
          <w:p w14:paraId="136094CE" w14:textId="7468E452" w:rsidR="003A0F35" w:rsidRPr="0038740D" w:rsidRDefault="005B2694" w:rsidP="003A0F35">
            <w:pPr>
              <w:rPr>
                <w:noProof/>
                <w:highlight w:val="cyan"/>
              </w:rPr>
            </w:pPr>
            <w:r w:rsidRPr="0076738F">
              <w:rPr>
                <w:noProof/>
              </w:rPr>
              <w:t>1</w:t>
            </w:r>
            <w:r w:rsidR="0017508F" w:rsidRPr="0076738F">
              <w:rPr>
                <w:noProof/>
              </w:rPr>
              <w:t>/</w:t>
            </w:r>
            <w:r w:rsidR="003A0F35" w:rsidRPr="0076738F">
              <w:rPr>
                <w:noProof/>
              </w:rPr>
              <w:t>202</w:t>
            </w:r>
            <w:r w:rsidR="0076738F" w:rsidRPr="0076738F">
              <w:rPr>
                <w:noProof/>
              </w:rPr>
              <w:t>6</w:t>
            </w:r>
            <w:r w:rsidR="003A0F35" w:rsidRPr="0076738F">
              <w:rPr>
                <w:noProof/>
              </w:rPr>
              <w:t xml:space="preserve"> – </w:t>
            </w:r>
            <w:r w:rsidR="0076738F" w:rsidRPr="0076738F">
              <w:rPr>
                <w:noProof/>
              </w:rPr>
              <w:t>6</w:t>
            </w:r>
            <w:r w:rsidR="0017508F" w:rsidRPr="0076738F">
              <w:rPr>
                <w:noProof/>
              </w:rPr>
              <w:t>/</w:t>
            </w:r>
            <w:r w:rsidR="003A0F35" w:rsidRPr="0076738F">
              <w:rPr>
                <w:noProof/>
              </w:rPr>
              <w:t>202</w:t>
            </w:r>
            <w:r w:rsidR="0076738F" w:rsidRPr="0076738F">
              <w:rPr>
                <w:noProof/>
              </w:rPr>
              <w:t>8</w:t>
            </w:r>
          </w:p>
        </w:tc>
      </w:tr>
    </w:tbl>
    <w:p w14:paraId="2A5557E8" w14:textId="77777777" w:rsidR="00206FE1" w:rsidRDefault="004F5BED" w:rsidP="006947AD">
      <w:pPr>
        <w:pStyle w:val="Nadpis1"/>
      </w:pPr>
      <w:bookmarkStart w:id="6" w:name="_Toc148597861"/>
      <w:r>
        <w:t>Metodika</w:t>
      </w:r>
      <w:r w:rsidR="00206FE1">
        <w:t xml:space="preserve"> ekonomického hodnocení</w:t>
      </w:r>
      <w:bookmarkEnd w:id="6"/>
    </w:p>
    <w:p w14:paraId="271A2EA2" w14:textId="4C93CA1F" w:rsidR="00D77CFD" w:rsidRDefault="00E15FD4" w:rsidP="00E15FD4">
      <w:r w:rsidRPr="00F061ED">
        <w:t xml:space="preserve">Ekonomické hodnocení </w:t>
      </w:r>
      <w:r w:rsidR="005A705B" w:rsidRPr="00F061ED">
        <w:t>je</w:t>
      </w:r>
      <w:r w:rsidRPr="00F061ED">
        <w:t xml:space="preserve"> zpracováno </w:t>
      </w:r>
      <w:r w:rsidR="00746ACE" w:rsidRPr="00F061ED">
        <w:t>v souladu</w:t>
      </w:r>
      <w:r w:rsidR="00746ACE">
        <w:t xml:space="preserve"> </w:t>
      </w:r>
      <w:r w:rsidR="00746ACE" w:rsidRPr="00F061ED">
        <w:t xml:space="preserve">s </w:t>
      </w:r>
      <w:r w:rsidR="00746ACE">
        <w:t>„</w:t>
      </w:r>
      <w:r w:rsidR="00746ACE" w:rsidRPr="00F061ED">
        <w:t>Prováděcími pokyny pro hodnocení efektivnosti projektů dopravní infrastruktury</w:t>
      </w:r>
      <w:r w:rsidR="00746ACE">
        <w:t>“ (MD 2017) bodem IV.1.d po</w:t>
      </w:r>
      <w:r w:rsidR="00746ACE" w:rsidRPr="00F061ED">
        <w:t xml:space="preserve">dle </w:t>
      </w:r>
      <w:r w:rsidR="00746ACE">
        <w:t>„</w:t>
      </w:r>
      <w:r w:rsidR="00746ACE" w:rsidRPr="00F061ED">
        <w:t>Rezortní metodiky pro hodnocení ekonomické efektivnosti projektů dopravních staveb</w:t>
      </w:r>
      <w:r w:rsidR="00746ACE">
        <w:t>“</w:t>
      </w:r>
      <w:r w:rsidR="00746ACE" w:rsidRPr="00F061ED">
        <w:t xml:space="preserve"> (dále jen Rezortní metodika</w:t>
      </w:r>
      <w:r w:rsidR="00F328BF">
        <w:t>)</w:t>
      </w:r>
      <w:r w:rsidR="00746ACE">
        <w:t xml:space="preserve">, </w:t>
      </w:r>
      <w:r w:rsidR="00F90BD9">
        <w:t>SFDI</w:t>
      </w:r>
      <w:r w:rsidR="00746ACE">
        <w:t xml:space="preserve"> </w:t>
      </w:r>
      <w:r w:rsidR="00F90BD9">
        <w:t>10/</w:t>
      </w:r>
      <w:r w:rsidR="00746ACE">
        <w:t>2017</w:t>
      </w:r>
      <w:r w:rsidR="00562B52">
        <w:t xml:space="preserve">, </w:t>
      </w:r>
      <w:r w:rsidR="00562B52" w:rsidRPr="008A365E">
        <w:t>aktualizované</w:t>
      </w:r>
      <w:r w:rsidR="00746ACE" w:rsidRPr="008A365E">
        <w:t xml:space="preserve"> 06/202</w:t>
      </w:r>
      <w:r w:rsidR="00933614" w:rsidRPr="008A365E">
        <w:t>3</w:t>
      </w:r>
      <w:r w:rsidR="00746ACE" w:rsidRPr="008A365E">
        <w:t>. Vzhledem</w:t>
      </w:r>
      <w:r w:rsidR="00746ACE">
        <w:t xml:space="preserve"> k charakteru a náplni stavby bylo hodnocení provedeno </w:t>
      </w:r>
      <w:r w:rsidRPr="00F061ED">
        <w:t>metodou</w:t>
      </w:r>
      <w:r w:rsidR="007F2967" w:rsidRPr="00F061ED">
        <w:t xml:space="preserve"> </w:t>
      </w:r>
      <w:r w:rsidR="007722BC">
        <w:t>multikriteriální analýzy (dále jen MKA)</w:t>
      </w:r>
      <w:r w:rsidR="00562B52">
        <w:t xml:space="preserve"> podle Přílohy č. 3 Rezortní metodiky</w:t>
      </w:r>
      <w:r w:rsidR="007722BC">
        <w:t>, pro výpočet finanční efektivnosti byla použita a</w:t>
      </w:r>
      <w:r w:rsidR="007F2967" w:rsidRPr="00F061ED">
        <w:t>nalýz</w:t>
      </w:r>
      <w:r w:rsidR="007722BC">
        <w:t>a</w:t>
      </w:r>
      <w:r w:rsidR="007F2967" w:rsidRPr="00F061ED">
        <w:t xml:space="preserve"> přínosů </w:t>
      </w:r>
      <w:r w:rsidR="0007673F">
        <w:br/>
      </w:r>
      <w:r w:rsidR="007F2967" w:rsidRPr="00F061ED">
        <w:t>a nákladů (</w:t>
      </w:r>
      <w:r w:rsidRPr="00F061ED">
        <w:t>CBA</w:t>
      </w:r>
      <w:r w:rsidR="007F2967" w:rsidRPr="00F061ED">
        <w:t>)</w:t>
      </w:r>
      <w:r w:rsidR="00746ACE">
        <w:t>.</w:t>
      </w:r>
    </w:p>
    <w:p w14:paraId="327BBE0A" w14:textId="1BB65BD3" w:rsidR="004F5BED" w:rsidRDefault="004F5BED" w:rsidP="00E15FD4">
      <w:r>
        <w:t>Hodnot</w:t>
      </w:r>
      <w:r w:rsidR="00C4148B">
        <w:t>i</w:t>
      </w:r>
      <w:r>
        <w:t>cí období je stanoveno v</w:t>
      </w:r>
      <w:r w:rsidR="009E1B87">
        <w:t> souladu s doporučením Rezortní</w:t>
      </w:r>
      <w:r>
        <w:t xml:space="preserve"> metodiky na 30 let, což </w:t>
      </w:r>
      <w:r w:rsidRPr="00F061ED">
        <w:t xml:space="preserve">u hodnocené akce znamená od roku </w:t>
      </w:r>
      <w:r w:rsidRPr="0076738F">
        <w:t>20</w:t>
      </w:r>
      <w:r w:rsidR="00F061ED" w:rsidRPr="0076738F">
        <w:t>2</w:t>
      </w:r>
      <w:r w:rsidR="001D40FC" w:rsidRPr="0076738F">
        <w:t>6</w:t>
      </w:r>
      <w:r w:rsidRPr="0076738F">
        <w:t xml:space="preserve"> do roku 20</w:t>
      </w:r>
      <w:r w:rsidR="00F061ED" w:rsidRPr="0076738F">
        <w:t>5</w:t>
      </w:r>
      <w:r w:rsidR="001D40FC" w:rsidRPr="0076738F">
        <w:t>5</w:t>
      </w:r>
      <w:r w:rsidRPr="00F061ED">
        <w:t xml:space="preserve">. Provozní fáze projektu začíná v roce </w:t>
      </w:r>
      <w:r w:rsidR="00F061ED" w:rsidRPr="0076738F">
        <w:t>202</w:t>
      </w:r>
      <w:r w:rsidR="001D40FC" w:rsidRPr="0076738F">
        <w:t>9</w:t>
      </w:r>
      <w:r w:rsidRPr="0076738F">
        <w:t>.</w:t>
      </w:r>
      <w:r w:rsidR="004659E4" w:rsidRPr="0076738F">
        <w:t xml:space="preserve"> </w:t>
      </w:r>
      <w:r w:rsidR="008C2F96" w:rsidRPr="0076738F">
        <w:t>Výpočet</w:t>
      </w:r>
      <w:r w:rsidR="008C2F96" w:rsidRPr="00F061ED">
        <w:t xml:space="preserve"> e</w:t>
      </w:r>
      <w:r w:rsidR="004659E4" w:rsidRPr="00F061ED">
        <w:t>konomické</w:t>
      </w:r>
      <w:r w:rsidR="008C2F96" w:rsidRPr="00F061ED">
        <w:t>ho</w:t>
      </w:r>
      <w:r w:rsidR="004659E4" w:rsidRPr="00F061ED">
        <w:t xml:space="preserve"> hodnocení je</w:t>
      </w:r>
      <w:r w:rsidR="008C2F96" w:rsidRPr="00F061ED">
        <w:t xml:space="preserve"> proveden</w:t>
      </w:r>
      <w:r w:rsidR="004659E4" w:rsidRPr="00F061ED">
        <w:t xml:space="preserve"> v</w:t>
      </w:r>
      <w:r w:rsidR="008C2F96" w:rsidRPr="00F061ED">
        <w:t>e stálých cenách v</w:t>
      </w:r>
      <w:r w:rsidR="004659E4" w:rsidRPr="00F061ED">
        <w:t> cenové úrovni základního roku</w:t>
      </w:r>
      <w:r w:rsidR="004F73EE" w:rsidRPr="00F061ED">
        <w:t>, tj. v CÚ 20</w:t>
      </w:r>
      <w:r w:rsidR="00F061ED" w:rsidRPr="00F061ED">
        <w:t>2</w:t>
      </w:r>
      <w:r w:rsidR="00817026">
        <w:t>3</w:t>
      </w:r>
      <w:r w:rsidR="00E80531" w:rsidRPr="00F061ED">
        <w:t>.</w:t>
      </w:r>
    </w:p>
    <w:p w14:paraId="50366085" w14:textId="64C8E692" w:rsidR="00C058E8" w:rsidRPr="00206FE1" w:rsidRDefault="005A705B" w:rsidP="00E15FD4">
      <w:r>
        <w:t>Pro výpočet finanční analýzy je p</w:t>
      </w:r>
      <w:r w:rsidR="00673E01">
        <w:t>oužita diskontní sazba ve výši 2</w:t>
      </w:r>
      <w:r>
        <w:t xml:space="preserve"> %</w:t>
      </w:r>
      <w:r w:rsidR="00C4148B">
        <w:t>.</w:t>
      </w:r>
    </w:p>
    <w:p w14:paraId="5121B4D1" w14:textId="77777777" w:rsidR="00B34E92" w:rsidRPr="00331E6D" w:rsidRDefault="00E15FD4" w:rsidP="006947AD">
      <w:pPr>
        <w:pStyle w:val="Nadpis1"/>
      </w:pPr>
      <w:bookmarkStart w:id="7" w:name="_Ref56452100"/>
      <w:bookmarkStart w:id="8" w:name="_Ref56452108"/>
      <w:bookmarkStart w:id="9" w:name="_Toc148597862"/>
      <w:r>
        <w:t>Popis současného stavu</w:t>
      </w:r>
      <w:bookmarkEnd w:id="7"/>
      <w:bookmarkEnd w:id="8"/>
      <w:bookmarkEnd w:id="9"/>
    </w:p>
    <w:p w14:paraId="1F7202EB" w14:textId="587B3B48" w:rsidR="001D40FC" w:rsidRPr="009A3391" w:rsidRDefault="00786167" w:rsidP="00B02CF9">
      <w:pPr>
        <w:rPr>
          <w:noProof/>
          <w:highlight w:val="yellow"/>
        </w:rPr>
      </w:pPr>
      <w:r>
        <w:rPr>
          <w:noProof/>
        </w:rPr>
        <w:t>Řešená stavba</w:t>
      </w:r>
      <w:r w:rsidR="00F061ED" w:rsidRPr="00676C95">
        <w:rPr>
          <w:noProof/>
        </w:rPr>
        <w:t xml:space="preserve"> se nachází </w:t>
      </w:r>
      <w:r w:rsidR="00423E8A">
        <w:rPr>
          <w:noProof/>
        </w:rPr>
        <w:t xml:space="preserve">v </w:t>
      </w:r>
      <w:r>
        <w:rPr>
          <w:noProof/>
        </w:rPr>
        <w:t>železniční stanici</w:t>
      </w:r>
      <w:r w:rsidR="00B24D9F">
        <w:rPr>
          <w:noProof/>
        </w:rPr>
        <w:t xml:space="preserve"> Valašské Meziříčí, která leží</w:t>
      </w:r>
      <w:r>
        <w:rPr>
          <w:noProof/>
        </w:rPr>
        <w:t xml:space="preserve"> </w:t>
      </w:r>
      <w:r w:rsidR="00F061ED" w:rsidRPr="00676C95">
        <w:rPr>
          <w:noProof/>
        </w:rPr>
        <w:t>na</w:t>
      </w:r>
      <w:r w:rsidR="00B24D9F">
        <w:rPr>
          <w:noProof/>
        </w:rPr>
        <w:t xml:space="preserve"> </w:t>
      </w:r>
      <w:r w:rsidR="00B24D9F" w:rsidRPr="009C6A32">
        <w:rPr>
          <w:noProof/>
        </w:rPr>
        <w:t>dvoukolejné celostátní</w:t>
      </w:r>
      <w:r w:rsidR="00F061ED" w:rsidRPr="00676C95">
        <w:rPr>
          <w:noProof/>
        </w:rPr>
        <w:t xml:space="preserve"> trati </w:t>
      </w:r>
      <w:r w:rsidR="0017508F" w:rsidRPr="00676C95">
        <w:rPr>
          <w:noProof/>
        </w:rPr>
        <w:t xml:space="preserve">č. </w:t>
      </w:r>
      <w:r w:rsidR="0017508F" w:rsidRPr="00423E8A">
        <w:rPr>
          <w:noProof/>
        </w:rPr>
        <w:t>2</w:t>
      </w:r>
      <w:r w:rsidR="00423E8A">
        <w:rPr>
          <w:noProof/>
        </w:rPr>
        <w:t>80 Hranice na Moravě – Střelná (- Púchov)</w:t>
      </w:r>
      <w:r w:rsidR="005B2694">
        <w:rPr>
          <w:noProof/>
        </w:rPr>
        <w:t xml:space="preserve"> a na jednokolejných regionálních tratích</w:t>
      </w:r>
      <w:r w:rsidR="00423E8A">
        <w:rPr>
          <w:noProof/>
        </w:rPr>
        <w:t xml:space="preserve"> č. 281 Valašské Meziříčí – Rožnov pod Radhoštěm, č. 303 </w:t>
      </w:r>
      <w:r w:rsidR="00CE39C2">
        <w:rPr>
          <w:noProof/>
        </w:rPr>
        <w:t>K</w:t>
      </w:r>
      <w:r w:rsidR="00423E8A">
        <w:rPr>
          <w:noProof/>
        </w:rPr>
        <w:t xml:space="preserve">ojetín – Valašské Meziříčí </w:t>
      </w:r>
      <w:r w:rsidR="0073725B">
        <w:rPr>
          <w:noProof/>
        </w:rPr>
        <w:br/>
      </w:r>
      <w:r w:rsidR="00423E8A">
        <w:rPr>
          <w:noProof/>
        </w:rPr>
        <w:t>a č. 323 Ostrava – Valašské Meziříčí</w:t>
      </w:r>
      <w:r w:rsidR="0017508F" w:rsidRPr="00423E8A">
        <w:rPr>
          <w:noProof/>
        </w:rPr>
        <w:t xml:space="preserve"> (</w:t>
      </w:r>
      <w:r w:rsidR="00625509">
        <w:rPr>
          <w:noProof/>
        </w:rPr>
        <w:t xml:space="preserve">čísla tratí jsou </w:t>
      </w:r>
      <w:r w:rsidR="0017508F" w:rsidRPr="00676C95">
        <w:rPr>
          <w:noProof/>
        </w:rPr>
        <w:t>dle knižního jízdního řádu</w:t>
      </w:r>
      <w:r w:rsidR="0017508F" w:rsidRPr="00423E8A">
        <w:rPr>
          <w:noProof/>
        </w:rPr>
        <w:t>)</w:t>
      </w:r>
      <w:r w:rsidR="009B4032" w:rsidRPr="00423E8A">
        <w:rPr>
          <w:noProof/>
        </w:rPr>
        <w:t xml:space="preserve">. </w:t>
      </w:r>
      <w:r w:rsidR="001727B9">
        <w:rPr>
          <w:noProof/>
        </w:rPr>
        <w:t>Trať č. 280 je zařazena</w:t>
      </w:r>
      <w:r w:rsidR="00676C95" w:rsidRPr="00423E8A">
        <w:rPr>
          <w:noProof/>
        </w:rPr>
        <w:t xml:space="preserve"> do TEN-T</w:t>
      </w:r>
      <w:r w:rsidR="006C6900">
        <w:rPr>
          <w:noProof/>
        </w:rPr>
        <w:t xml:space="preserve"> do </w:t>
      </w:r>
      <w:r w:rsidR="00CE39C2">
        <w:rPr>
          <w:noProof/>
        </w:rPr>
        <w:t>globální sítě osobní dopravy</w:t>
      </w:r>
      <w:r w:rsidR="006C6900">
        <w:rPr>
          <w:noProof/>
        </w:rPr>
        <w:t xml:space="preserve"> a hlavní sítě nákladní dopravy</w:t>
      </w:r>
      <w:r w:rsidR="00423E8A" w:rsidRPr="00423E8A">
        <w:rPr>
          <w:noProof/>
        </w:rPr>
        <w:t>.</w:t>
      </w:r>
      <w:r w:rsidR="006C6900">
        <w:rPr>
          <w:noProof/>
        </w:rPr>
        <w:t xml:space="preserve"> J</w:t>
      </w:r>
      <w:r w:rsidR="006C6900" w:rsidRPr="00423E8A">
        <w:rPr>
          <w:noProof/>
        </w:rPr>
        <w:t>e součástí evropského nákladního koridoru 9</w:t>
      </w:r>
      <w:r w:rsidR="006C6900">
        <w:rPr>
          <w:noProof/>
        </w:rPr>
        <w:t>.</w:t>
      </w:r>
      <w:r w:rsidR="00423E8A" w:rsidRPr="00423E8A">
        <w:rPr>
          <w:noProof/>
        </w:rPr>
        <w:t xml:space="preserve"> Trať je </w:t>
      </w:r>
      <w:r w:rsidR="00CD79CB" w:rsidRPr="009C6A32">
        <w:rPr>
          <w:noProof/>
        </w:rPr>
        <w:t>elektrizova</w:t>
      </w:r>
      <w:r w:rsidR="009C6A32" w:rsidRPr="009C6A32">
        <w:rPr>
          <w:noProof/>
        </w:rPr>
        <w:t>ná</w:t>
      </w:r>
      <w:r w:rsidR="00CD79CB" w:rsidRPr="009C6A32">
        <w:rPr>
          <w:noProof/>
        </w:rPr>
        <w:t xml:space="preserve"> </w:t>
      </w:r>
      <w:r w:rsidR="009C6A32" w:rsidRPr="009C6A32">
        <w:rPr>
          <w:noProof/>
        </w:rPr>
        <w:t>stejnosměrnou</w:t>
      </w:r>
      <w:r w:rsidR="00CD79CB" w:rsidRPr="009C6A32">
        <w:rPr>
          <w:noProof/>
        </w:rPr>
        <w:t xml:space="preserve"> trakční soustavou </w:t>
      </w:r>
      <w:r w:rsidR="0073725B">
        <w:rPr>
          <w:noProof/>
        </w:rPr>
        <w:br/>
      </w:r>
      <w:r w:rsidR="009C6A32" w:rsidRPr="009C6A32">
        <w:rPr>
          <w:noProof/>
        </w:rPr>
        <w:t>3</w:t>
      </w:r>
      <w:r w:rsidR="00CD79CB" w:rsidRPr="009C6A32">
        <w:rPr>
          <w:noProof/>
        </w:rPr>
        <w:t xml:space="preserve"> kV.</w:t>
      </w:r>
      <w:r w:rsidR="00C214A0" w:rsidRPr="009C6A32">
        <w:rPr>
          <w:noProof/>
        </w:rPr>
        <w:t xml:space="preserve"> </w:t>
      </w:r>
      <w:r w:rsidR="00541EFB" w:rsidRPr="009C6A32">
        <w:rPr>
          <w:noProof/>
        </w:rPr>
        <w:t>Trať</w:t>
      </w:r>
      <w:r w:rsidR="00541EFB" w:rsidRPr="00676C95">
        <w:rPr>
          <w:noProof/>
        </w:rPr>
        <w:t xml:space="preserve"> je dle </w:t>
      </w:r>
      <w:r w:rsidR="004A49A4">
        <w:rPr>
          <w:noProof/>
        </w:rPr>
        <w:t>R</w:t>
      </w:r>
      <w:r w:rsidR="00541EFB" w:rsidRPr="00676C95">
        <w:rPr>
          <w:noProof/>
        </w:rPr>
        <w:t xml:space="preserve">ezortní metodiky zařazena do </w:t>
      </w:r>
      <w:r w:rsidR="00541EFB" w:rsidRPr="00C279D4">
        <w:rPr>
          <w:noProof/>
        </w:rPr>
        <w:t>kategorie TC</w:t>
      </w:r>
      <w:r w:rsidR="004A56C1" w:rsidRPr="00C279D4">
        <w:rPr>
          <w:noProof/>
        </w:rPr>
        <w:t>3</w:t>
      </w:r>
      <w:r w:rsidR="00541EFB" w:rsidRPr="00C279D4">
        <w:rPr>
          <w:noProof/>
        </w:rPr>
        <w:t>.</w:t>
      </w:r>
      <w:r w:rsidR="00A62DAB" w:rsidRPr="00C279D4">
        <w:rPr>
          <w:noProof/>
        </w:rPr>
        <w:t xml:space="preserve"> </w:t>
      </w:r>
    </w:p>
    <w:p w14:paraId="1D21B78B" w14:textId="5D7111F3" w:rsidR="00501FAB" w:rsidRDefault="00501FAB" w:rsidP="00B02CF9">
      <w:pPr>
        <w:rPr>
          <w:noProof/>
        </w:rPr>
      </w:pPr>
      <w:r>
        <w:rPr>
          <w:noProof/>
        </w:rPr>
        <w:t>Stanice je vybavena reléovým staničním zabezpečovacím zařízením AŽD 71 s č</w:t>
      </w:r>
      <w:r w:rsidR="00C4148B">
        <w:rPr>
          <w:noProof/>
        </w:rPr>
        <w:t>í</w:t>
      </w:r>
      <w:r>
        <w:rPr>
          <w:noProof/>
        </w:rPr>
        <w:t>slicovou volbou – 3. kategorie</w:t>
      </w:r>
      <w:r w:rsidR="00D7400D">
        <w:rPr>
          <w:noProof/>
        </w:rPr>
        <w:t xml:space="preserve"> podle TNŽ 34 2620</w:t>
      </w:r>
      <w:r>
        <w:rPr>
          <w:noProof/>
        </w:rPr>
        <w:t xml:space="preserve"> od roku 1975. </w:t>
      </w:r>
      <w:r w:rsidR="00DF52D3">
        <w:rPr>
          <w:noProof/>
        </w:rPr>
        <w:t>Ve stanici je od roku 2009 instalován auomatický hlasový a</w:t>
      </w:r>
      <w:r w:rsidR="00D7400D">
        <w:rPr>
          <w:noProof/>
        </w:rPr>
        <w:t> </w:t>
      </w:r>
      <w:r w:rsidR="00DF52D3">
        <w:rPr>
          <w:noProof/>
        </w:rPr>
        <w:t>vizuální informační systém pro cestující. Informační tabule jsou od roku 2019 elektronické. Ty jsou umístěny v budově a v podchodu. Mezi další sdělovací zařízení patří elekt</w:t>
      </w:r>
      <w:r w:rsidR="00DA0A59">
        <w:rPr>
          <w:noProof/>
        </w:rPr>
        <w:t>r</w:t>
      </w:r>
      <w:r w:rsidR="00DF52D3">
        <w:rPr>
          <w:noProof/>
        </w:rPr>
        <w:t>onická požární signalizace a kamerový systém</w:t>
      </w:r>
      <w:r w:rsidR="00407EDF">
        <w:rPr>
          <w:noProof/>
        </w:rPr>
        <w:t>. Ve výpravní budově je umístěna dopravní kancelář a technologické prostory zabezpečovací a sdělovací technologie. Pro pohyb cestujících s omezenou schopností pohybu slouží 3 zdvihací plošiny. Železniční svršek má opotřebené kolejnice</w:t>
      </w:r>
      <w:r w:rsidR="00F84AAF">
        <w:rPr>
          <w:noProof/>
        </w:rPr>
        <w:t xml:space="preserve"> a </w:t>
      </w:r>
      <w:r w:rsidR="00D7400D">
        <w:rPr>
          <w:noProof/>
        </w:rPr>
        <w:t>znečištěné kolejové lože</w:t>
      </w:r>
      <w:r w:rsidR="00F84AAF">
        <w:rPr>
          <w:noProof/>
        </w:rPr>
        <w:t>. Železniční spodek je špatně odvodněn. V </w:t>
      </w:r>
      <w:r w:rsidR="00C4148B">
        <w:rPr>
          <w:noProof/>
        </w:rPr>
        <w:t>ŽST</w:t>
      </w:r>
      <w:r w:rsidR="00F84AAF">
        <w:rPr>
          <w:noProof/>
        </w:rPr>
        <w:t xml:space="preserve"> Valašské Meziříčí se nachází vnější nástupiště č. 1 se zastřešením </w:t>
      </w:r>
      <w:r w:rsidR="004E6085">
        <w:rPr>
          <w:noProof/>
        </w:rPr>
        <w:t xml:space="preserve">z ocelové konstrukce </w:t>
      </w:r>
      <w:r w:rsidR="00D7400D">
        <w:rPr>
          <w:noProof/>
        </w:rPr>
        <w:t> tzv. vlaštovkou</w:t>
      </w:r>
      <w:r w:rsidR="004E6085">
        <w:rPr>
          <w:noProof/>
        </w:rPr>
        <w:t>. O</w:t>
      </w:r>
      <w:r w:rsidR="00F84AAF">
        <w:rPr>
          <w:noProof/>
        </w:rPr>
        <w:t>strovní nátupiště č. 2 a 3</w:t>
      </w:r>
      <w:r w:rsidR="004E6085">
        <w:rPr>
          <w:noProof/>
        </w:rPr>
        <w:t xml:space="preserve"> jsou zastřešena </w:t>
      </w:r>
      <w:r w:rsidR="00D7400D">
        <w:rPr>
          <w:noProof/>
        </w:rPr>
        <w:t xml:space="preserve">také </w:t>
      </w:r>
      <w:r w:rsidR="004E6085">
        <w:rPr>
          <w:noProof/>
        </w:rPr>
        <w:t>ocelovou konstrukcí tzv. vlaštovkou. V zimním období se zde kvůli úkapům srážkových vod tvoří ledovka.</w:t>
      </w:r>
      <w:r w:rsidR="00F84AAF">
        <w:rPr>
          <w:noProof/>
        </w:rPr>
        <w:t xml:space="preserve"> Ani jedno z nástupišť </w:t>
      </w:r>
      <w:r w:rsidR="004E6085">
        <w:rPr>
          <w:noProof/>
        </w:rPr>
        <w:t>v</w:t>
      </w:r>
      <w:r w:rsidR="0076738F">
        <w:rPr>
          <w:noProof/>
        </w:rPr>
        <w:t> </w:t>
      </w:r>
      <w:r w:rsidR="00C4148B">
        <w:rPr>
          <w:noProof/>
        </w:rPr>
        <w:t>ŽST</w:t>
      </w:r>
      <w:r w:rsidR="004E6085">
        <w:rPr>
          <w:noProof/>
        </w:rPr>
        <w:t xml:space="preserve"> </w:t>
      </w:r>
      <w:r w:rsidR="00F84AAF">
        <w:rPr>
          <w:noProof/>
        </w:rPr>
        <w:t xml:space="preserve">nesplňuje normovou výšku 550 mm nad temenem kolejnice. </w:t>
      </w:r>
      <w:r w:rsidR="004E6085">
        <w:rPr>
          <w:noProof/>
        </w:rPr>
        <w:t xml:space="preserve">Podchod pro cestující je z roku 1939. V roce 2003 proběhla rekonstrukce obkladů stěn a dlažby v podchodu, odvodnění podlahy, osazení nových osvětlení a izolace nosné kostrukce. </w:t>
      </w:r>
    </w:p>
    <w:p w14:paraId="490C7177" w14:textId="09BAF6B8" w:rsidR="009A3391" w:rsidRDefault="00D7400D" w:rsidP="0061213D">
      <w:pPr>
        <w:rPr>
          <w:noProof/>
        </w:rPr>
      </w:pPr>
      <w:r>
        <w:rPr>
          <w:noProof/>
        </w:rPr>
        <w:t xml:space="preserve">Jižní </w:t>
      </w:r>
      <w:r w:rsidR="00E96AB7">
        <w:rPr>
          <w:noProof/>
        </w:rPr>
        <w:t>část výpravní budovy (od vestibulu)</w:t>
      </w:r>
      <w:r>
        <w:rPr>
          <w:noProof/>
        </w:rPr>
        <w:t xml:space="preserve"> dále odznačovanou A</w:t>
      </w:r>
      <w:r w:rsidR="00E96AB7">
        <w:rPr>
          <w:noProof/>
        </w:rPr>
        <w:t xml:space="preserve"> využívá ČD Cargo, a.</w:t>
      </w:r>
      <w:r>
        <w:rPr>
          <w:noProof/>
        </w:rPr>
        <w:t xml:space="preserve"> </w:t>
      </w:r>
      <w:r w:rsidR="00E96AB7">
        <w:rPr>
          <w:noProof/>
        </w:rPr>
        <w:t>s.</w:t>
      </w:r>
      <w:r>
        <w:rPr>
          <w:noProof/>
        </w:rPr>
        <w:t xml:space="preserve"> a provozní složky SŽ</w:t>
      </w:r>
      <w:r w:rsidR="00E96AB7">
        <w:rPr>
          <w:noProof/>
        </w:rPr>
        <w:t>, v</w:t>
      </w:r>
      <w:r>
        <w:rPr>
          <w:noProof/>
        </w:rPr>
        <w:t xml:space="preserve"> části B v </w:t>
      </w:r>
      <w:r w:rsidR="00E96AB7">
        <w:rPr>
          <w:noProof/>
        </w:rPr>
        <w:t xml:space="preserve">hale pro cestující jsou </w:t>
      </w:r>
      <w:r w:rsidR="00DA0A59">
        <w:rPr>
          <w:noProof/>
        </w:rPr>
        <w:t>u</w:t>
      </w:r>
      <w:r w:rsidR="00E96AB7">
        <w:rPr>
          <w:noProof/>
        </w:rPr>
        <w:t>místěny prostory ČD, čekárna, komerční prostory (pekárna, trafika a knihkupectví), WC pro ce</w:t>
      </w:r>
      <w:r>
        <w:rPr>
          <w:noProof/>
        </w:rPr>
        <w:t>s</w:t>
      </w:r>
      <w:r w:rsidR="00E96AB7">
        <w:rPr>
          <w:noProof/>
        </w:rPr>
        <w:t xml:space="preserve">tující a prostory restaurace, </w:t>
      </w:r>
      <w:r w:rsidR="00E96AB7">
        <w:rPr>
          <w:noProof/>
        </w:rPr>
        <w:lastRenderedPageBreak/>
        <w:t xml:space="preserve">která je mimo provoz. </w:t>
      </w:r>
      <w:r w:rsidR="007A3200">
        <w:rPr>
          <w:noProof/>
        </w:rPr>
        <w:t>Nad prostory restaurace</w:t>
      </w:r>
      <w:r>
        <w:rPr>
          <w:noProof/>
        </w:rPr>
        <w:t xml:space="preserve"> v části C</w:t>
      </w:r>
      <w:r w:rsidR="007A3200">
        <w:rPr>
          <w:noProof/>
        </w:rPr>
        <w:t xml:space="preserve"> se nacház</w:t>
      </w:r>
      <w:r>
        <w:rPr>
          <w:noProof/>
        </w:rPr>
        <w:t>ej</w:t>
      </w:r>
      <w:r w:rsidR="007A3200">
        <w:rPr>
          <w:noProof/>
        </w:rPr>
        <w:t xml:space="preserve">í kanceláře a sklady. </w:t>
      </w:r>
      <w:r w:rsidR="00E96AB7">
        <w:rPr>
          <w:noProof/>
        </w:rPr>
        <w:t>V</w:t>
      </w:r>
      <w:r w:rsidR="007A3200">
        <w:rPr>
          <w:noProof/>
        </w:rPr>
        <w:t>e druhém nadzem</w:t>
      </w:r>
      <w:r>
        <w:rPr>
          <w:noProof/>
        </w:rPr>
        <w:t>n</w:t>
      </w:r>
      <w:r w:rsidR="007A3200">
        <w:rPr>
          <w:noProof/>
        </w:rPr>
        <w:t>í</w:t>
      </w:r>
      <w:r>
        <w:rPr>
          <w:noProof/>
        </w:rPr>
        <w:t>m</w:t>
      </w:r>
      <w:r w:rsidR="007A3200">
        <w:rPr>
          <w:noProof/>
        </w:rPr>
        <w:t xml:space="preserve"> podlaží</w:t>
      </w:r>
      <w:r>
        <w:rPr>
          <w:noProof/>
        </w:rPr>
        <w:t xml:space="preserve"> části D</w:t>
      </w:r>
      <w:r w:rsidR="007A3200">
        <w:rPr>
          <w:noProof/>
        </w:rPr>
        <w:t xml:space="preserve"> </w:t>
      </w:r>
      <w:r>
        <w:rPr>
          <w:noProof/>
        </w:rPr>
        <w:t>(</w:t>
      </w:r>
      <w:r w:rsidR="007A3200">
        <w:rPr>
          <w:noProof/>
        </w:rPr>
        <w:t>objektu RZZ</w:t>
      </w:r>
      <w:r>
        <w:rPr>
          <w:noProof/>
        </w:rPr>
        <w:t>)</w:t>
      </w:r>
      <w:r w:rsidR="007A3200">
        <w:rPr>
          <w:noProof/>
        </w:rPr>
        <w:t xml:space="preserve"> </w:t>
      </w:r>
      <w:r w:rsidR="00E96AB7">
        <w:rPr>
          <w:noProof/>
        </w:rPr>
        <w:t>jsou umístěny</w:t>
      </w:r>
      <w:r w:rsidR="007A3200">
        <w:rPr>
          <w:noProof/>
        </w:rPr>
        <w:t xml:space="preserve"> dva byty a</w:t>
      </w:r>
      <w:r>
        <w:rPr>
          <w:noProof/>
        </w:rPr>
        <w:t> </w:t>
      </w:r>
      <w:r w:rsidR="007A3200">
        <w:rPr>
          <w:noProof/>
        </w:rPr>
        <w:t>dopravní kancelář se z</w:t>
      </w:r>
      <w:r w:rsidR="00DA0A59">
        <w:rPr>
          <w:noProof/>
        </w:rPr>
        <w:t>á</w:t>
      </w:r>
      <w:r w:rsidR="007A3200">
        <w:rPr>
          <w:noProof/>
        </w:rPr>
        <w:t>zemím a technologií</w:t>
      </w:r>
      <w:r w:rsidR="00E96AB7">
        <w:rPr>
          <w:noProof/>
        </w:rPr>
        <w:t xml:space="preserve">. </w:t>
      </w:r>
      <w:r w:rsidR="007A3200">
        <w:rPr>
          <w:noProof/>
        </w:rPr>
        <w:t xml:space="preserve">Napojení budovy na kanalizaci je v nevyhovujícím stavu. V roce 2019 byl objekt částečně </w:t>
      </w:r>
      <w:r>
        <w:rPr>
          <w:noProof/>
        </w:rPr>
        <w:t>opraven</w:t>
      </w:r>
      <w:r w:rsidR="007A3200">
        <w:rPr>
          <w:noProof/>
        </w:rPr>
        <w:t>.</w:t>
      </w:r>
      <w:r w:rsidR="009A3391">
        <w:rPr>
          <w:noProof/>
        </w:rPr>
        <w:t xml:space="preserve"> Parkování poblíž budovy je neorganizované, z</w:t>
      </w:r>
      <w:r w:rsidR="009A3391" w:rsidRPr="00F06159">
        <w:rPr>
          <w:noProof/>
        </w:rPr>
        <w:t xml:space="preserve">pevněné plochy jsou ve špatném až v havarijním </w:t>
      </w:r>
      <w:r w:rsidR="009A3391">
        <w:rPr>
          <w:noProof/>
        </w:rPr>
        <w:t xml:space="preserve">technickém </w:t>
      </w:r>
      <w:r w:rsidR="009A3391" w:rsidRPr="00F06159">
        <w:rPr>
          <w:noProof/>
        </w:rPr>
        <w:t>stavu.</w:t>
      </w:r>
    </w:p>
    <w:p w14:paraId="4F6FBB32" w14:textId="77777777" w:rsidR="00040DD5" w:rsidRPr="00040DD5" w:rsidRDefault="00040DD5" w:rsidP="00040DD5">
      <w:pPr>
        <w:pStyle w:val="Nadpis1"/>
      </w:pPr>
      <w:bookmarkStart w:id="10" w:name="_Toc91001367"/>
      <w:bookmarkStart w:id="11" w:name="_Toc148597863"/>
      <w:r w:rsidRPr="00040DD5">
        <w:t>Dopravní a provozní technologie</w:t>
      </w:r>
      <w:bookmarkEnd w:id="10"/>
      <w:bookmarkEnd w:id="11"/>
    </w:p>
    <w:p w14:paraId="0C6D41C3" w14:textId="77777777" w:rsidR="00040DD5" w:rsidRPr="00040DD5" w:rsidRDefault="00040DD5" w:rsidP="00040DD5">
      <w:pPr>
        <w:pStyle w:val="Nadpis2"/>
        <w:ind w:left="578" w:hanging="578"/>
        <w:rPr>
          <w:noProof/>
        </w:rPr>
      </w:pPr>
      <w:bookmarkStart w:id="12" w:name="_Toc91001368"/>
      <w:bookmarkStart w:id="13" w:name="_Toc148597864"/>
      <w:r w:rsidRPr="00040DD5">
        <w:rPr>
          <w:noProof/>
        </w:rPr>
        <w:t>Výchozí stav železničního provozu</w:t>
      </w:r>
      <w:bookmarkEnd w:id="12"/>
      <w:bookmarkEnd w:id="13"/>
    </w:p>
    <w:p w14:paraId="56808C16" w14:textId="77777777" w:rsidR="00040DD5" w:rsidRPr="00040DD5" w:rsidRDefault="00040DD5" w:rsidP="00040DD5">
      <w:pPr>
        <w:pStyle w:val="Nadpis3"/>
        <w:rPr>
          <w:noProof/>
        </w:rPr>
      </w:pPr>
      <w:bookmarkStart w:id="14" w:name="_Toc148597865"/>
      <w:r w:rsidRPr="00040DD5">
        <w:rPr>
          <w:noProof/>
        </w:rPr>
        <w:t>Rozsah dopravy</w:t>
      </w:r>
      <w:bookmarkEnd w:id="14"/>
    </w:p>
    <w:p w14:paraId="1C8B1551" w14:textId="20E5EC56" w:rsidR="00040DD5" w:rsidRPr="00040DD5" w:rsidRDefault="00040DD5" w:rsidP="00040DD5">
      <w:pPr>
        <w:rPr>
          <w:noProof/>
        </w:rPr>
      </w:pPr>
      <w:r w:rsidRPr="00040DD5">
        <w:rPr>
          <w:noProof/>
        </w:rPr>
        <w:t xml:space="preserve">Výchozí rozsah dopravy v ŽST Valašské Meziříčí uvažujeme ve stavu GVD 2023. Stanice slouží vlakům osobní i nákladní dopravy. Linky </w:t>
      </w:r>
      <w:r w:rsidRPr="00040DD5">
        <w:rPr>
          <w:b/>
          <w:noProof/>
        </w:rPr>
        <w:t>osobní dopravy</w:t>
      </w:r>
      <w:r w:rsidRPr="00040DD5">
        <w:rPr>
          <w:noProof/>
        </w:rPr>
        <w:t xml:space="preserve"> jsou uvedeny v tabulce </w:t>
      </w:r>
      <w:r w:rsidR="00833B3B">
        <w:rPr>
          <w:noProof/>
        </w:rPr>
        <w:t xml:space="preserve">č. </w:t>
      </w:r>
      <w:r w:rsidR="00833B3B" w:rsidRPr="00833B3B">
        <w:rPr>
          <w:noProof/>
        </w:rPr>
        <w:t>1</w:t>
      </w:r>
      <w:r w:rsidRPr="00040DD5">
        <w:rPr>
          <w:noProof/>
        </w:rPr>
        <w:t xml:space="preserve">. </w:t>
      </w:r>
    </w:p>
    <w:p w14:paraId="2CA30DC1" w14:textId="01E08706" w:rsidR="00833B3B" w:rsidRDefault="00833B3B" w:rsidP="00833B3B">
      <w:pPr>
        <w:pStyle w:val="Titulek"/>
        <w:keepNext/>
      </w:pPr>
      <w:bookmarkStart w:id="15" w:name="_Toc148597846"/>
      <w:r>
        <w:t xml:space="preserve">Tabulka </w:t>
      </w:r>
      <w:fldSimple w:instr=" SEQ Tabulka \* ARABIC ">
        <w:r w:rsidR="00C16554">
          <w:rPr>
            <w:noProof/>
          </w:rPr>
          <w:t>1</w:t>
        </w:r>
      </w:fldSimple>
      <w:r>
        <w:t xml:space="preserve">: </w:t>
      </w:r>
      <w:r w:rsidRPr="00FC08D0">
        <w:t>Linky osobní dopravy, výchozí stav</w:t>
      </w:r>
      <w:bookmarkEnd w:id="15"/>
    </w:p>
    <w:tbl>
      <w:tblPr>
        <w:tblStyle w:val="Mkatabulky1"/>
        <w:tblW w:w="5000" w:type="pct"/>
        <w:tblLayout w:type="fixed"/>
        <w:tblLook w:val="04E0" w:firstRow="1" w:lastRow="1" w:firstColumn="1" w:lastColumn="0" w:noHBand="0" w:noVBand="1"/>
      </w:tblPr>
      <w:tblGrid>
        <w:gridCol w:w="1314"/>
        <w:gridCol w:w="5257"/>
        <w:gridCol w:w="2103"/>
      </w:tblGrid>
      <w:tr w:rsidR="00040DD5" w:rsidRPr="00040DD5" w14:paraId="3B0706DF" w14:textId="77777777" w:rsidTr="00833B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65C1C9AF" w14:textId="77777777" w:rsidR="00040DD5" w:rsidRPr="00FA135A" w:rsidRDefault="00040DD5" w:rsidP="00040DD5">
            <w:pPr>
              <w:keepNext/>
              <w:rPr>
                <w:b/>
              </w:rPr>
            </w:pPr>
            <w:r w:rsidRPr="00FA135A">
              <w:rPr>
                <w:b/>
              </w:rPr>
              <w:t>linka</w:t>
            </w:r>
          </w:p>
        </w:tc>
        <w:tc>
          <w:tcPr>
            <w:tcW w:w="5257" w:type="dxa"/>
          </w:tcPr>
          <w:p w14:paraId="5663217B" w14:textId="77777777" w:rsidR="00040DD5" w:rsidRPr="00FA135A" w:rsidRDefault="00040DD5" w:rsidP="00040DD5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A135A">
              <w:rPr>
                <w:b/>
              </w:rPr>
              <w:t>směr</w:t>
            </w:r>
          </w:p>
        </w:tc>
        <w:tc>
          <w:tcPr>
            <w:tcW w:w="2103" w:type="dxa"/>
          </w:tcPr>
          <w:p w14:paraId="34083C88" w14:textId="77777777" w:rsidR="00040DD5" w:rsidRPr="00FA135A" w:rsidRDefault="00040DD5" w:rsidP="00040DD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A135A">
              <w:rPr>
                <w:b/>
              </w:rPr>
              <w:t>interval</w:t>
            </w:r>
          </w:p>
        </w:tc>
      </w:tr>
      <w:tr w:rsidR="00040DD5" w:rsidRPr="00040DD5" w14:paraId="73375D49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179F6E35" w14:textId="77777777" w:rsidR="00040DD5" w:rsidRPr="00040DD5" w:rsidRDefault="00040DD5" w:rsidP="00040DD5">
            <w:pPr>
              <w:keepNext/>
            </w:pPr>
            <w:r w:rsidRPr="00040DD5">
              <w:t>Ex2</w:t>
            </w:r>
          </w:p>
        </w:tc>
        <w:tc>
          <w:tcPr>
            <w:tcW w:w="5257" w:type="dxa"/>
          </w:tcPr>
          <w:p w14:paraId="5A53AEE2" w14:textId="77777777" w:rsidR="00040DD5" w:rsidRPr="00040DD5" w:rsidRDefault="00040DD5" w:rsidP="00040DD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Praha – Vsetín – Púchov</w:t>
            </w:r>
          </w:p>
        </w:tc>
        <w:tc>
          <w:tcPr>
            <w:tcW w:w="2103" w:type="dxa"/>
          </w:tcPr>
          <w:p w14:paraId="576906D1" w14:textId="77777777" w:rsidR="00040DD5" w:rsidRPr="00040DD5" w:rsidRDefault="00040DD5" w:rsidP="00040DD5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120 min.</w:t>
            </w:r>
          </w:p>
        </w:tc>
      </w:tr>
      <w:tr w:rsidR="00040DD5" w:rsidRPr="00040DD5" w14:paraId="15F067F3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2E029FCC" w14:textId="77777777" w:rsidR="00040DD5" w:rsidRPr="00040DD5" w:rsidRDefault="00040DD5" w:rsidP="00040DD5">
            <w:r w:rsidRPr="00040DD5">
              <w:t>S2</w:t>
            </w:r>
          </w:p>
        </w:tc>
        <w:tc>
          <w:tcPr>
            <w:tcW w:w="5257" w:type="dxa"/>
          </w:tcPr>
          <w:p w14:paraId="35B92CB4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Bylnice – Horní Lideč – Vsetín – Valašské Meziříčí (- Rožnov pod Radhoštěm)</w:t>
            </w:r>
          </w:p>
        </w:tc>
        <w:tc>
          <w:tcPr>
            <w:tcW w:w="2103" w:type="dxa"/>
          </w:tcPr>
          <w:p w14:paraId="1BF4B5D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pouze 3 páry spojů denně</w:t>
            </w:r>
          </w:p>
        </w:tc>
      </w:tr>
      <w:tr w:rsidR="00040DD5" w:rsidRPr="00040DD5" w14:paraId="7CDE8957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42D09843" w14:textId="77777777" w:rsidR="00040DD5" w:rsidRPr="00040DD5" w:rsidRDefault="00040DD5" w:rsidP="00040DD5">
            <w:r w:rsidRPr="00040DD5">
              <w:t>S3/Sp3</w:t>
            </w:r>
          </w:p>
        </w:tc>
        <w:tc>
          <w:tcPr>
            <w:tcW w:w="5257" w:type="dxa"/>
          </w:tcPr>
          <w:p w14:paraId="576E2B03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Vsetín – Hranice na Moravě (- Přerov – Olomouc)</w:t>
            </w:r>
          </w:p>
        </w:tc>
        <w:tc>
          <w:tcPr>
            <w:tcW w:w="2103" w:type="dxa"/>
          </w:tcPr>
          <w:p w14:paraId="387508C7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60/120 min.</w:t>
            </w:r>
          </w:p>
        </w:tc>
      </w:tr>
      <w:tr w:rsidR="00040DD5" w:rsidRPr="00040DD5" w14:paraId="06F8A97E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0047C0A7" w14:textId="77777777" w:rsidR="00040DD5" w:rsidRPr="00040DD5" w:rsidRDefault="00040DD5" w:rsidP="00040DD5">
            <w:r w:rsidRPr="00040DD5">
              <w:t>S4</w:t>
            </w:r>
          </w:p>
        </w:tc>
        <w:tc>
          <w:tcPr>
            <w:tcW w:w="5257" w:type="dxa"/>
            <w:tcMar>
              <w:left w:w="28" w:type="dxa"/>
              <w:right w:w="28" w:type="dxa"/>
            </w:tcMar>
          </w:tcPr>
          <w:p w14:paraId="5BB66576" w14:textId="69DD0F35" w:rsidR="00040DD5" w:rsidRPr="00040DD5" w:rsidRDefault="00DA0A59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="00040DD5" w:rsidRPr="00040DD5">
              <w:t>Kojetín – Hulín – Valašské Meziříčí – Rožnov pod Radhoštěm</w:t>
            </w:r>
          </w:p>
        </w:tc>
        <w:tc>
          <w:tcPr>
            <w:tcW w:w="2103" w:type="dxa"/>
            <w:tcMar>
              <w:left w:w="28" w:type="dxa"/>
              <w:right w:w="28" w:type="dxa"/>
            </w:tcMar>
          </w:tcPr>
          <w:p w14:paraId="7F5F52C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60 min. (některé spoje vynechány)</w:t>
            </w:r>
          </w:p>
        </w:tc>
      </w:tr>
      <w:tr w:rsidR="00040DD5" w:rsidRPr="00040DD5" w14:paraId="1EAAB248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0C8AF59B" w14:textId="77777777" w:rsidR="00040DD5" w:rsidRPr="00040DD5" w:rsidRDefault="00040DD5" w:rsidP="00040DD5">
            <w:r w:rsidRPr="00040DD5">
              <w:t>S42</w:t>
            </w:r>
          </w:p>
        </w:tc>
        <w:tc>
          <w:tcPr>
            <w:tcW w:w="5257" w:type="dxa"/>
          </w:tcPr>
          <w:p w14:paraId="49FD02F1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Valašské Meziříčí – Rožnov pod Radhoštěm</w:t>
            </w:r>
          </w:p>
        </w:tc>
        <w:tc>
          <w:tcPr>
            <w:tcW w:w="2103" w:type="dxa"/>
          </w:tcPr>
          <w:p w14:paraId="0A66A3E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60 min. nepravidelně</w:t>
            </w:r>
          </w:p>
        </w:tc>
      </w:tr>
      <w:tr w:rsidR="00040DD5" w:rsidRPr="00040DD5" w14:paraId="76C4936C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</w:tcPr>
          <w:p w14:paraId="15863413" w14:textId="77777777" w:rsidR="00040DD5" w:rsidRPr="00040DD5" w:rsidRDefault="00040DD5" w:rsidP="00040DD5">
            <w:r w:rsidRPr="00040DD5">
              <w:t>S6</w:t>
            </w:r>
          </w:p>
        </w:tc>
        <w:tc>
          <w:tcPr>
            <w:tcW w:w="5257" w:type="dxa"/>
          </w:tcPr>
          <w:p w14:paraId="58886E0E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Ostrava – Frýdek-Místek – Frýdlant nad Ostravicí – Frenštát pod Radhoštěm – Valašské Meziříčí</w:t>
            </w:r>
          </w:p>
        </w:tc>
        <w:tc>
          <w:tcPr>
            <w:tcW w:w="2103" w:type="dxa"/>
          </w:tcPr>
          <w:p w14:paraId="04F2EEE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60/120 min.</w:t>
            </w:r>
          </w:p>
        </w:tc>
      </w:tr>
      <w:tr w:rsidR="00040DD5" w:rsidRPr="00040DD5" w14:paraId="619FD6B1" w14:textId="77777777" w:rsidTr="00833B3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" w:type="dxa"/>
            <w:tcBorders>
              <w:top w:val="single" w:sz="2" w:space="0" w:color="auto"/>
            </w:tcBorders>
            <w:shd w:val="clear" w:color="auto" w:fill="auto"/>
          </w:tcPr>
          <w:p w14:paraId="6E587F35" w14:textId="77777777" w:rsidR="00040DD5" w:rsidRPr="00040DD5" w:rsidRDefault="00040DD5" w:rsidP="00040DD5">
            <w:pPr>
              <w:rPr>
                <w:b w:val="0"/>
              </w:rPr>
            </w:pPr>
            <w:r w:rsidRPr="00040DD5">
              <w:rPr>
                <w:b w:val="0"/>
              </w:rPr>
              <w:t>Sp8</w:t>
            </w:r>
          </w:p>
        </w:tc>
        <w:tc>
          <w:tcPr>
            <w:tcW w:w="5257" w:type="dxa"/>
            <w:tcBorders>
              <w:top w:val="single" w:sz="2" w:space="0" w:color="auto"/>
            </w:tcBorders>
            <w:shd w:val="clear" w:color="auto" w:fill="auto"/>
          </w:tcPr>
          <w:p w14:paraId="54150086" w14:textId="77777777" w:rsidR="00040DD5" w:rsidRPr="00040DD5" w:rsidRDefault="00040DD5" w:rsidP="00040DD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40DD5">
              <w:rPr>
                <w:b w:val="0"/>
              </w:rPr>
              <w:t>Brno – Kojetín – Hulín – Valašské Meziříčí – Frenštát pod Radhoštěm</w:t>
            </w:r>
          </w:p>
        </w:tc>
        <w:tc>
          <w:tcPr>
            <w:tcW w:w="2103" w:type="dxa"/>
            <w:tcBorders>
              <w:top w:val="single" w:sz="2" w:space="0" w:color="auto"/>
            </w:tcBorders>
            <w:shd w:val="clear" w:color="auto" w:fill="auto"/>
          </w:tcPr>
          <w:p w14:paraId="44C200A7" w14:textId="77777777" w:rsidR="00040DD5" w:rsidRPr="00040DD5" w:rsidRDefault="00040DD5" w:rsidP="00040DD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40DD5">
              <w:rPr>
                <w:b w:val="0"/>
              </w:rPr>
              <w:t>1 pár so/ne</w:t>
            </w:r>
          </w:p>
        </w:tc>
      </w:tr>
    </w:tbl>
    <w:p w14:paraId="4BFC1DD7" w14:textId="4CDD12AC" w:rsidR="00040DD5" w:rsidRPr="00040DD5" w:rsidRDefault="00040DD5" w:rsidP="00040DD5">
      <w:pPr>
        <w:spacing w:before="240"/>
        <w:rPr>
          <w:noProof/>
        </w:rPr>
      </w:pPr>
      <w:r w:rsidRPr="00040DD5">
        <w:rPr>
          <w:noProof/>
        </w:rPr>
        <w:t>V </w:t>
      </w:r>
      <w:r w:rsidRPr="00040DD5">
        <w:rPr>
          <w:b/>
          <w:noProof/>
        </w:rPr>
        <w:t>nákladní dopravě</w:t>
      </w:r>
      <w:r w:rsidRPr="00040DD5">
        <w:rPr>
          <w:noProof/>
        </w:rPr>
        <w:t xml:space="preserve"> v současnosti dominuje směr Hranice na Moravě – Valašské Meziříčí </w:t>
      </w:r>
      <w:r w:rsidR="002142A9">
        <w:rPr>
          <w:noProof/>
        </w:rPr>
        <w:br/>
      </w:r>
      <w:r w:rsidRPr="00040DD5">
        <w:rPr>
          <w:noProof/>
        </w:rPr>
        <w:t xml:space="preserve">a zpět. Pro kapacitu dráhy je rozhodujícím údajem 9. decil z denní četnosti vlaků, který za leden až březen 2022 dosahoval 11 vlaků v úseku Odb Skalka – Valašské Meziříčí, 7 vlaků Branky na Moravě – Valašské Meziříčí, 3 vlaky Vsetín – Valašské Meziříčí a 2 vlaky Střítež nad Bečvou – Valašské Meziříčí. Směr Hostašovice – Valašské Meziříčí byl ve sledovaném období bez nákladní dopravy. </w:t>
      </w:r>
    </w:p>
    <w:p w14:paraId="738F018F" w14:textId="7D62D238" w:rsidR="00833B3B" w:rsidRDefault="00833B3B" w:rsidP="00833B3B">
      <w:pPr>
        <w:pStyle w:val="Titulek"/>
        <w:keepNext/>
      </w:pPr>
      <w:bookmarkStart w:id="16" w:name="_Toc148597847"/>
      <w:r>
        <w:t xml:space="preserve">Tabulka </w:t>
      </w:r>
      <w:fldSimple w:instr=" SEQ Tabulka \* ARABIC ">
        <w:r w:rsidR="00C16554">
          <w:rPr>
            <w:noProof/>
          </w:rPr>
          <w:t>2</w:t>
        </w:r>
      </w:fldSimple>
      <w:r>
        <w:t xml:space="preserve">: </w:t>
      </w:r>
      <w:r w:rsidRPr="00A752D3">
        <w:t>Rozsah dopravy, výchozí stav</w:t>
      </w:r>
      <w:bookmarkEnd w:id="16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2863"/>
        <w:gridCol w:w="400"/>
        <w:gridCol w:w="474"/>
        <w:gridCol w:w="446"/>
        <w:gridCol w:w="557"/>
        <w:gridCol w:w="721"/>
        <w:gridCol w:w="400"/>
        <w:gridCol w:w="468"/>
        <w:gridCol w:w="414"/>
        <w:gridCol w:w="557"/>
        <w:gridCol w:w="638"/>
        <w:gridCol w:w="736"/>
      </w:tblGrid>
      <w:tr w:rsidR="00040DD5" w:rsidRPr="00040DD5" w14:paraId="5C503924" w14:textId="77777777" w:rsidTr="00833B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vMerge w:val="restart"/>
          </w:tcPr>
          <w:p w14:paraId="18CB2394" w14:textId="77777777" w:rsidR="00040DD5" w:rsidRPr="00FA135A" w:rsidRDefault="00040DD5" w:rsidP="00040DD5">
            <w:pPr>
              <w:rPr>
                <w:b/>
                <w:noProof/>
              </w:rPr>
            </w:pPr>
            <w:r w:rsidRPr="00FA135A">
              <w:rPr>
                <w:b/>
                <w:noProof/>
              </w:rPr>
              <w:t>Úsek</w:t>
            </w:r>
          </w:p>
        </w:tc>
        <w:tc>
          <w:tcPr>
            <w:tcW w:w="2605" w:type="dxa"/>
            <w:gridSpan w:val="5"/>
          </w:tcPr>
          <w:p w14:paraId="4420B17E" w14:textId="2C4D90A9" w:rsidR="00040DD5" w:rsidRPr="00FA135A" w:rsidRDefault="00040DD5" w:rsidP="00040D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FA135A">
              <w:rPr>
                <w:b/>
                <w:noProof/>
              </w:rPr>
              <w:t>Směr Lhotka n.</w:t>
            </w:r>
            <w:r w:rsidR="00F3169F" w:rsidRPr="00FA135A">
              <w:rPr>
                <w:b/>
                <w:noProof/>
              </w:rPr>
              <w:t xml:space="preserve"> </w:t>
            </w:r>
            <w:r w:rsidRPr="00FA135A">
              <w:rPr>
                <w:b/>
                <w:noProof/>
              </w:rPr>
              <w:t>B., Jablůnka, Branky n</w:t>
            </w:r>
            <w:r w:rsidR="00DA0A59" w:rsidRPr="00FA135A">
              <w:rPr>
                <w:b/>
                <w:noProof/>
              </w:rPr>
              <w:t xml:space="preserve">a </w:t>
            </w:r>
            <w:r w:rsidRPr="00FA135A">
              <w:rPr>
                <w:b/>
                <w:noProof/>
              </w:rPr>
              <w:t>M., Hostašovice, Střítež n.B.</w:t>
            </w:r>
          </w:p>
        </w:tc>
        <w:tc>
          <w:tcPr>
            <w:tcW w:w="2481" w:type="dxa"/>
            <w:gridSpan w:val="5"/>
          </w:tcPr>
          <w:p w14:paraId="3546089D" w14:textId="77777777" w:rsidR="00040DD5" w:rsidRPr="00FA135A" w:rsidRDefault="00040DD5" w:rsidP="00040D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FA135A">
              <w:rPr>
                <w:b/>
                <w:noProof/>
              </w:rPr>
              <w:t>Směr Valašské Meziříčí</w:t>
            </w:r>
          </w:p>
        </w:tc>
        <w:tc>
          <w:tcPr>
            <w:tcW w:w="680" w:type="dxa"/>
            <w:vMerge w:val="restart"/>
          </w:tcPr>
          <w:p w14:paraId="5AC540B5" w14:textId="77777777" w:rsidR="00040DD5" w:rsidRPr="00FA135A" w:rsidRDefault="00040DD5" w:rsidP="00040D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FA135A">
              <w:rPr>
                <w:b/>
                <w:noProof/>
              </w:rPr>
              <w:t>Celkem</w:t>
            </w:r>
          </w:p>
        </w:tc>
      </w:tr>
      <w:tr w:rsidR="00040DD5" w:rsidRPr="00040DD5" w14:paraId="750CCC42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  <w:vMerge/>
          </w:tcPr>
          <w:p w14:paraId="0CAD0EAC" w14:textId="77777777" w:rsidR="00040DD5" w:rsidRPr="00040DD5" w:rsidRDefault="00040DD5" w:rsidP="00040DD5">
            <w:pPr>
              <w:rPr>
                <w:noProof/>
              </w:rPr>
            </w:pPr>
          </w:p>
        </w:tc>
        <w:tc>
          <w:tcPr>
            <w:tcW w:w="400" w:type="dxa"/>
            <w:shd w:val="clear" w:color="auto" w:fill="F2F2F2" w:themeFill="background1" w:themeFillShade="F2"/>
          </w:tcPr>
          <w:p w14:paraId="661881DF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EC</w:t>
            </w:r>
          </w:p>
        </w:tc>
        <w:tc>
          <w:tcPr>
            <w:tcW w:w="476" w:type="dxa"/>
            <w:shd w:val="clear" w:color="auto" w:fill="F2F2F2" w:themeFill="background1" w:themeFillShade="F2"/>
          </w:tcPr>
          <w:p w14:paraId="553B3A5A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R</w:t>
            </w:r>
          </w:p>
        </w:tc>
        <w:tc>
          <w:tcPr>
            <w:tcW w:w="447" w:type="dxa"/>
            <w:shd w:val="clear" w:color="auto" w:fill="F2F2F2" w:themeFill="background1" w:themeFillShade="F2"/>
          </w:tcPr>
          <w:p w14:paraId="5C3A6F94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Sp</w:t>
            </w:r>
          </w:p>
        </w:tc>
        <w:tc>
          <w:tcPr>
            <w:tcW w:w="559" w:type="dxa"/>
            <w:shd w:val="clear" w:color="auto" w:fill="F2F2F2" w:themeFill="background1" w:themeFillShade="F2"/>
          </w:tcPr>
          <w:p w14:paraId="48D7554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Os</w:t>
            </w:r>
          </w:p>
        </w:tc>
        <w:tc>
          <w:tcPr>
            <w:tcW w:w="723" w:type="dxa"/>
            <w:shd w:val="clear" w:color="auto" w:fill="F2F2F2" w:themeFill="background1" w:themeFillShade="F2"/>
          </w:tcPr>
          <w:p w14:paraId="07EFA72B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Nex, Pn, Mn</w:t>
            </w:r>
          </w:p>
        </w:tc>
        <w:tc>
          <w:tcPr>
            <w:tcW w:w="400" w:type="dxa"/>
            <w:shd w:val="clear" w:color="auto" w:fill="F2F2F2" w:themeFill="background1" w:themeFillShade="F2"/>
          </w:tcPr>
          <w:p w14:paraId="0FECC157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EC</w:t>
            </w:r>
          </w:p>
        </w:tc>
        <w:tc>
          <w:tcPr>
            <w:tcW w:w="470" w:type="dxa"/>
            <w:shd w:val="clear" w:color="auto" w:fill="F2F2F2" w:themeFill="background1" w:themeFillShade="F2"/>
          </w:tcPr>
          <w:p w14:paraId="08C1DA3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R</w:t>
            </w:r>
          </w:p>
        </w:tc>
        <w:tc>
          <w:tcPr>
            <w:tcW w:w="414" w:type="dxa"/>
            <w:shd w:val="clear" w:color="auto" w:fill="F2F2F2" w:themeFill="background1" w:themeFillShade="F2"/>
          </w:tcPr>
          <w:p w14:paraId="0FDDE90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Sp</w:t>
            </w:r>
          </w:p>
        </w:tc>
        <w:tc>
          <w:tcPr>
            <w:tcW w:w="559" w:type="dxa"/>
            <w:shd w:val="clear" w:color="auto" w:fill="F2F2F2" w:themeFill="background1" w:themeFillShade="F2"/>
          </w:tcPr>
          <w:p w14:paraId="4F421C2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Os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363E866B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Nex, Pn, Mn</w:t>
            </w:r>
          </w:p>
        </w:tc>
        <w:tc>
          <w:tcPr>
            <w:tcW w:w="680" w:type="dxa"/>
            <w:vMerge/>
          </w:tcPr>
          <w:p w14:paraId="17B77B95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D5" w:rsidRPr="00040DD5" w14:paraId="0E000166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</w:tcPr>
          <w:p w14:paraId="0704E49C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– Lhotka nad Bečvou</w:t>
            </w:r>
          </w:p>
        </w:tc>
        <w:tc>
          <w:tcPr>
            <w:tcW w:w="400" w:type="dxa"/>
          </w:tcPr>
          <w:p w14:paraId="61C2E60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8/1</w:t>
            </w:r>
          </w:p>
        </w:tc>
        <w:tc>
          <w:tcPr>
            <w:tcW w:w="476" w:type="dxa"/>
          </w:tcPr>
          <w:p w14:paraId="0D004F1A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47" w:type="dxa"/>
          </w:tcPr>
          <w:p w14:paraId="5FE74BC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559" w:type="dxa"/>
          </w:tcPr>
          <w:p w14:paraId="4752AEAA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14/2</w:t>
            </w:r>
          </w:p>
        </w:tc>
        <w:tc>
          <w:tcPr>
            <w:tcW w:w="723" w:type="dxa"/>
          </w:tcPr>
          <w:p w14:paraId="4A039164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9/0</w:t>
            </w:r>
          </w:p>
        </w:tc>
        <w:tc>
          <w:tcPr>
            <w:tcW w:w="400" w:type="dxa"/>
          </w:tcPr>
          <w:p w14:paraId="05ED76CF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8/1</w:t>
            </w:r>
          </w:p>
        </w:tc>
        <w:tc>
          <w:tcPr>
            <w:tcW w:w="470" w:type="dxa"/>
          </w:tcPr>
          <w:p w14:paraId="01F38FA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14" w:type="dxa"/>
          </w:tcPr>
          <w:p w14:paraId="77DA08A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2/0</w:t>
            </w:r>
          </w:p>
        </w:tc>
        <w:tc>
          <w:tcPr>
            <w:tcW w:w="559" w:type="dxa"/>
          </w:tcPr>
          <w:p w14:paraId="028BB1F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15/2</w:t>
            </w:r>
          </w:p>
        </w:tc>
        <w:tc>
          <w:tcPr>
            <w:tcW w:w="638" w:type="dxa"/>
          </w:tcPr>
          <w:p w14:paraId="4437F8E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9/3</w:t>
            </w:r>
          </w:p>
        </w:tc>
        <w:tc>
          <w:tcPr>
            <w:tcW w:w="680" w:type="dxa"/>
          </w:tcPr>
          <w:p w14:paraId="3255508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66/9</w:t>
            </w:r>
          </w:p>
        </w:tc>
      </w:tr>
      <w:tr w:rsidR="00040DD5" w:rsidRPr="00040DD5" w14:paraId="6850BC57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</w:tcPr>
          <w:p w14:paraId="3142672B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- Jablůnka</w:t>
            </w:r>
          </w:p>
        </w:tc>
        <w:tc>
          <w:tcPr>
            <w:tcW w:w="400" w:type="dxa"/>
          </w:tcPr>
          <w:p w14:paraId="5B7CB08A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8/1</w:t>
            </w:r>
          </w:p>
        </w:tc>
        <w:tc>
          <w:tcPr>
            <w:tcW w:w="476" w:type="dxa"/>
          </w:tcPr>
          <w:p w14:paraId="598D88C1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47" w:type="dxa"/>
          </w:tcPr>
          <w:p w14:paraId="25C4402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2/0</w:t>
            </w:r>
          </w:p>
        </w:tc>
        <w:tc>
          <w:tcPr>
            <w:tcW w:w="559" w:type="dxa"/>
          </w:tcPr>
          <w:p w14:paraId="74DE3BE2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19/3</w:t>
            </w:r>
          </w:p>
        </w:tc>
        <w:tc>
          <w:tcPr>
            <w:tcW w:w="723" w:type="dxa"/>
          </w:tcPr>
          <w:p w14:paraId="0CAC48E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7/1</w:t>
            </w:r>
          </w:p>
        </w:tc>
        <w:tc>
          <w:tcPr>
            <w:tcW w:w="400" w:type="dxa"/>
          </w:tcPr>
          <w:p w14:paraId="4874E2A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8/1</w:t>
            </w:r>
          </w:p>
        </w:tc>
        <w:tc>
          <w:tcPr>
            <w:tcW w:w="470" w:type="dxa"/>
          </w:tcPr>
          <w:p w14:paraId="47276D91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14" w:type="dxa"/>
          </w:tcPr>
          <w:p w14:paraId="4EA3322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559" w:type="dxa"/>
          </w:tcPr>
          <w:p w14:paraId="65C82A9B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19/2</w:t>
            </w:r>
          </w:p>
        </w:tc>
        <w:tc>
          <w:tcPr>
            <w:tcW w:w="638" w:type="dxa"/>
          </w:tcPr>
          <w:p w14:paraId="4B1762B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7/1</w:t>
            </w:r>
          </w:p>
        </w:tc>
        <w:tc>
          <w:tcPr>
            <w:tcW w:w="680" w:type="dxa"/>
          </w:tcPr>
          <w:p w14:paraId="5B33ABC0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71/9</w:t>
            </w:r>
          </w:p>
        </w:tc>
      </w:tr>
      <w:tr w:rsidR="00040DD5" w:rsidRPr="00040DD5" w14:paraId="7728F5C0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</w:tcPr>
          <w:p w14:paraId="7C563C67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– Branky na Moravě</w:t>
            </w:r>
          </w:p>
        </w:tc>
        <w:tc>
          <w:tcPr>
            <w:tcW w:w="400" w:type="dxa"/>
          </w:tcPr>
          <w:p w14:paraId="135843B7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6" w:type="dxa"/>
          </w:tcPr>
          <w:p w14:paraId="3C2A868B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47" w:type="dxa"/>
          </w:tcPr>
          <w:p w14:paraId="46784BC7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2/0</w:t>
            </w:r>
          </w:p>
        </w:tc>
        <w:tc>
          <w:tcPr>
            <w:tcW w:w="559" w:type="dxa"/>
          </w:tcPr>
          <w:p w14:paraId="0FFFDD80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15/2</w:t>
            </w:r>
          </w:p>
        </w:tc>
        <w:tc>
          <w:tcPr>
            <w:tcW w:w="723" w:type="dxa"/>
          </w:tcPr>
          <w:p w14:paraId="65E1208F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400" w:type="dxa"/>
          </w:tcPr>
          <w:p w14:paraId="08AAFC7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0" w:type="dxa"/>
          </w:tcPr>
          <w:p w14:paraId="22A45E5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14" w:type="dxa"/>
          </w:tcPr>
          <w:p w14:paraId="16C4D64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559" w:type="dxa"/>
          </w:tcPr>
          <w:p w14:paraId="185E0A8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638" w:type="dxa"/>
          </w:tcPr>
          <w:p w14:paraId="6AC60274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680" w:type="dxa"/>
          </w:tcPr>
          <w:p w14:paraId="49590531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36/4</w:t>
            </w:r>
          </w:p>
        </w:tc>
      </w:tr>
      <w:tr w:rsidR="00040DD5" w:rsidRPr="00040DD5" w14:paraId="661B4231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</w:tcPr>
          <w:p w14:paraId="7968B57E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– Hostašovice</w:t>
            </w:r>
          </w:p>
        </w:tc>
        <w:tc>
          <w:tcPr>
            <w:tcW w:w="400" w:type="dxa"/>
          </w:tcPr>
          <w:p w14:paraId="41078E9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6" w:type="dxa"/>
          </w:tcPr>
          <w:p w14:paraId="59F645B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47" w:type="dxa"/>
          </w:tcPr>
          <w:p w14:paraId="57DE72C6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559" w:type="dxa"/>
          </w:tcPr>
          <w:p w14:paraId="0BE5ED3A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15/2</w:t>
            </w:r>
          </w:p>
        </w:tc>
        <w:tc>
          <w:tcPr>
            <w:tcW w:w="723" w:type="dxa"/>
          </w:tcPr>
          <w:p w14:paraId="0ECA6EA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00" w:type="dxa"/>
          </w:tcPr>
          <w:p w14:paraId="07032F4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0" w:type="dxa"/>
          </w:tcPr>
          <w:p w14:paraId="20392B8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14" w:type="dxa"/>
          </w:tcPr>
          <w:p w14:paraId="4C48B6F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559" w:type="dxa"/>
          </w:tcPr>
          <w:p w14:paraId="1CA0B791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14/2</w:t>
            </w:r>
          </w:p>
        </w:tc>
        <w:tc>
          <w:tcPr>
            <w:tcW w:w="638" w:type="dxa"/>
          </w:tcPr>
          <w:p w14:paraId="5CAEFD3B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680" w:type="dxa"/>
          </w:tcPr>
          <w:p w14:paraId="4035AC2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31/4</w:t>
            </w:r>
          </w:p>
        </w:tc>
      </w:tr>
      <w:tr w:rsidR="00040DD5" w:rsidRPr="00040DD5" w14:paraId="75AAD845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8" w:type="dxa"/>
          </w:tcPr>
          <w:p w14:paraId="3EC737B4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– Střítež nad Bečvou</w:t>
            </w:r>
          </w:p>
        </w:tc>
        <w:tc>
          <w:tcPr>
            <w:tcW w:w="400" w:type="dxa"/>
          </w:tcPr>
          <w:p w14:paraId="7BB0CF6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6" w:type="dxa"/>
          </w:tcPr>
          <w:p w14:paraId="49127D0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47" w:type="dxa"/>
          </w:tcPr>
          <w:p w14:paraId="6553A69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559" w:type="dxa"/>
          </w:tcPr>
          <w:p w14:paraId="552B1DB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25/3</w:t>
            </w:r>
          </w:p>
        </w:tc>
        <w:tc>
          <w:tcPr>
            <w:tcW w:w="723" w:type="dxa"/>
          </w:tcPr>
          <w:p w14:paraId="7220B38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400" w:type="dxa"/>
          </w:tcPr>
          <w:p w14:paraId="6B95048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0" w:type="dxa"/>
          </w:tcPr>
          <w:p w14:paraId="4EDBCD37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14" w:type="dxa"/>
          </w:tcPr>
          <w:p w14:paraId="615CA1E7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559" w:type="dxa"/>
          </w:tcPr>
          <w:p w14:paraId="39BBFC7A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25/3</w:t>
            </w:r>
          </w:p>
        </w:tc>
        <w:tc>
          <w:tcPr>
            <w:tcW w:w="638" w:type="dxa"/>
          </w:tcPr>
          <w:p w14:paraId="7BD19AD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680" w:type="dxa"/>
          </w:tcPr>
          <w:p w14:paraId="332D8DEF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53/6</w:t>
            </w:r>
          </w:p>
        </w:tc>
      </w:tr>
      <w:tr w:rsidR="00040DD5" w:rsidRPr="00040DD5" w14:paraId="171CF01F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4" w:type="dxa"/>
            <w:gridSpan w:val="12"/>
          </w:tcPr>
          <w:p w14:paraId="3637D617" w14:textId="77777777" w:rsidR="00040DD5" w:rsidRPr="00040DD5" w:rsidRDefault="00040DD5" w:rsidP="00040DD5">
            <w:pPr>
              <w:jc w:val="center"/>
              <w:rPr>
                <w:noProof/>
              </w:rPr>
            </w:pPr>
            <w:r w:rsidRPr="00040DD5">
              <w:rPr>
                <w:noProof/>
              </w:rPr>
              <w:t>Počty vlaků odpovídají pracovnímu dni a jsou uvedeny v pořadí celodenní / za špičkové 2 hodiny (16 – 18 hod.)</w:t>
            </w:r>
          </w:p>
        </w:tc>
      </w:tr>
    </w:tbl>
    <w:p w14:paraId="4C349ED7" w14:textId="77777777" w:rsidR="00040DD5" w:rsidRPr="00040DD5" w:rsidRDefault="00040DD5" w:rsidP="00040DD5">
      <w:pPr>
        <w:pStyle w:val="Nadpis2"/>
        <w:ind w:left="578" w:hanging="578"/>
        <w:rPr>
          <w:noProof/>
        </w:rPr>
      </w:pPr>
      <w:bookmarkStart w:id="17" w:name="_Toc91001369"/>
      <w:bookmarkStart w:id="18" w:name="_Toc148597866"/>
      <w:r w:rsidRPr="00040DD5">
        <w:rPr>
          <w:noProof/>
        </w:rPr>
        <w:t>Výhledový stav železničního provozu</w:t>
      </w:r>
      <w:bookmarkEnd w:id="17"/>
      <w:bookmarkEnd w:id="18"/>
    </w:p>
    <w:p w14:paraId="19BE862F" w14:textId="77777777" w:rsidR="00040DD5" w:rsidRPr="00040DD5" w:rsidRDefault="00040DD5" w:rsidP="00040DD5">
      <w:pPr>
        <w:pStyle w:val="Nadpis3"/>
        <w:rPr>
          <w:noProof/>
        </w:rPr>
      </w:pPr>
      <w:bookmarkStart w:id="19" w:name="_Toc148597867"/>
      <w:r w:rsidRPr="00040DD5">
        <w:rPr>
          <w:noProof/>
        </w:rPr>
        <w:t>Předpoklady výhledu osobní dopravy</w:t>
      </w:r>
      <w:bookmarkEnd w:id="19"/>
    </w:p>
    <w:p w14:paraId="3D2E7804" w14:textId="4DACA4A3" w:rsidR="00040DD5" w:rsidRPr="00040DD5" w:rsidRDefault="00040DD5" w:rsidP="00040DD5">
      <w:pPr>
        <w:rPr>
          <w:noProof/>
        </w:rPr>
      </w:pPr>
      <w:bookmarkStart w:id="20" w:name="_Hlk122510851"/>
      <w:r w:rsidRPr="00040DD5">
        <w:rPr>
          <w:noProof/>
        </w:rPr>
        <w:t xml:space="preserve">Základním podkladem pro budoucí vývoj </w:t>
      </w:r>
      <w:r w:rsidRPr="00040DD5">
        <w:rPr>
          <w:b/>
          <w:noProof/>
        </w:rPr>
        <w:t>dálkové osobní dopravy</w:t>
      </w:r>
      <w:r w:rsidRPr="00040DD5">
        <w:rPr>
          <w:noProof/>
        </w:rPr>
        <w:t xml:space="preserve"> je „Plán dopravní obsluhy území vlaky celostátní dopravy. Zásady objednávky dálkové dopravy pro období 2022–2026“, který pro ŽST Valašské Meziříčí upřesnilo Ministerstvo dopravy ČR</w:t>
      </w:r>
      <w:r w:rsidRPr="00040DD5">
        <w:t xml:space="preserve">. </w:t>
      </w:r>
    </w:p>
    <w:p w14:paraId="3ABEFB1C" w14:textId="729B1E52" w:rsidR="00040DD5" w:rsidRPr="00040DD5" w:rsidRDefault="00040DD5" w:rsidP="00040DD5">
      <w:pPr>
        <w:rPr>
          <w:noProof/>
        </w:rPr>
      </w:pPr>
      <w:r w:rsidRPr="00040DD5">
        <w:rPr>
          <w:noProof/>
        </w:rPr>
        <w:lastRenderedPageBreak/>
        <w:t xml:space="preserve">Pro </w:t>
      </w:r>
      <w:r w:rsidRPr="00040DD5">
        <w:rPr>
          <w:b/>
          <w:noProof/>
        </w:rPr>
        <w:t>regionální osobní dopravu</w:t>
      </w:r>
      <w:r w:rsidRPr="00040DD5">
        <w:rPr>
          <w:noProof/>
        </w:rPr>
        <w:t xml:space="preserve"> vydal Krajský úřad Zlínského kraje „Plán dopravní obslužnosti Zlínského kraje 2021–2025 s výhledem do roku 2030“. Výhledový rozsah dopravy a délky souprav pot</w:t>
      </w:r>
      <w:r w:rsidR="00DA0A59">
        <w:rPr>
          <w:noProof/>
        </w:rPr>
        <w:t>v</w:t>
      </w:r>
      <w:r w:rsidRPr="00040DD5">
        <w:rPr>
          <w:noProof/>
        </w:rPr>
        <w:t xml:space="preserve">rdili i objednatelé sousedních krajů, do kterých linky zajíždějí. Stávající model obsluhy ŽST Valašské Meziříčí zůstane zachován. Z hlediska délky nástupišť je v regionální dopravě požadována délka pro dvojici dvouvozových elektrických jednotek (např. 2×ř. 650). </w:t>
      </w:r>
    </w:p>
    <w:p w14:paraId="3EBF3319" w14:textId="461B8B3A" w:rsidR="00833B3B" w:rsidRDefault="00833B3B" w:rsidP="00833B3B">
      <w:pPr>
        <w:pStyle w:val="Titulek"/>
        <w:keepNext/>
      </w:pPr>
      <w:bookmarkStart w:id="21" w:name="_Toc148597848"/>
      <w:bookmarkEnd w:id="20"/>
      <w:r>
        <w:t xml:space="preserve">Tabulka </w:t>
      </w:r>
      <w:fldSimple w:instr=" SEQ Tabulka \* ARABIC ">
        <w:r w:rsidR="00C16554">
          <w:rPr>
            <w:noProof/>
          </w:rPr>
          <w:t>3</w:t>
        </w:r>
      </w:fldSimple>
      <w:r>
        <w:t xml:space="preserve">: </w:t>
      </w:r>
      <w:r w:rsidRPr="006E3EDA">
        <w:t>Linky osobní dopravy, výhled</w:t>
      </w:r>
      <w:bookmarkEnd w:id="21"/>
    </w:p>
    <w:tbl>
      <w:tblPr>
        <w:tblStyle w:val="Mkatabulky1"/>
        <w:tblW w:w="5000" w:type="pct"/>
        <w:tblLayout w:type="fixed"/>
        <w:tblLook w:val="04E0" w:firstRow="1" w:lastRow="1" w:firstColumn="1" w:lastColumn="0" w:noHBand="0" w:noVBand="1"/>
      </w:tblPr>
      <w:tblGrid>
        <w:gridCol w:w="1356"/>
        <w:gridCol w:w="5301"/>
        <w:gridCol w:w="2017"/>
      </w:tblGrid>
      <w:tr w:rsidR="00040DD5" w:rsidRPr="00040DD5" w14:paraId="2E3609A6" w14:textId="77777777" w:rsidTr="007372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</w:tcPr>
          <w:p w14:paraId="59B67160" w14:textId="77777777" w:rsidR="00040DD5" w:rsidRPr="00FA135A" w:rsidRDefault="00040DD5" w:rsidP="00040DD5">
            <w:pPr>
              <w:keepNext/>
              <w:rPr>
                <w:b/>
              </w:rPr>
            </w:pPr>
            <w:bookmarkStart w:id="22" w:name="_Hlk122510870"/>
            <w:r w:rsidRPr="00FA135A">
              <w:rPr>
                <w:b/>
              </w:rPr>
              <w:t>linka</w:t>
            </w:r>
          </w:p>
        </w:tc>
        <w:tc>
          <w:tcPr>
            <w:tcW w:w="5301" w:type="dxa"/>
          </w:tcPr>
          <w:p w14:paraId="47286044" w14:textId="77777777" w:rsidR="00040DD5" w:rsidRPr="00FA135A" w:rsidRDefault="00040DD5" w:rsidP="00040DD5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A135A">
              <w:rPr>
                <w:b/>
              </w:rPr>
              <w:t>Směr</w:t>
            </w:r>
          </w:p>
        </w:tc>
        <w:tc>
          <w:tcPr>
            <w:tcW w:w="2017" w:type="dxa"/>
          </w:tcPr>
          <w:p w14:paraId="7301FC39" w14:textId="77777777" w:rsidR="00040DD5" w:rsidRPr="00FA135A" w:rsidRDefault="00040DD5" w:rsidP="00040DD5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A135A">
              <w:rPr>
                <w:b/>
              </w:rPr>
              <w:t>interval</w:t>
            </w:r>
          </w:p>
        </w:tc>
      </w:tr>
      <w:tr w:rsidR="00040DD5" w:rsidRPr="00040DD5" w14:paraId="38B87A17" w14:textId="77777777" w:rsidTr="007372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</w:tcPr>
          <w:p w14:paraId="6A1CF15B" w14:textId="77777777" w:rsidR="00040DD5" w:rsidRPr="00040DD5" w:rsidRDefault="00040DD5" w:rsidP="00040DD5">
            <w:pPr>
              <w:keepNext/>
            </w:pPr>
            <w:r w:rsidRPr="00040DD5">
              <w:t>Ex2</w:t>
            </w:r>
          </w:p>
        </w:tc>
        <w:tc>
          <w:tcPr>
            <w:tcW w:w="5301" w:type="dxa"/>
          </w:tcPr>
          <w:p w14:paraId="736417E8" w14:textId="77777777" w:rsidR="00040DD5" w:rsidRPr="00040DD5" w:rsidRDefault="00040DD5" w:rsidP="00040DD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Praha – Vsetín – Púchov</w:t>
            </w:r>
          </w:p>
        </w:tc>
        <w:tc>
          <w:tcPr>
            <w:tcW w:w="2017" w:type="dxa"/>
          </w:tcPr>
          <w:p w14:paraId="61F6160A" w14:textId="77777777" w:rsidR="00040DD5" w:rsidRPr="00040DD5" w:rsidRDefault="00040DD5" w:rsidP="00040DD5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120 min.</w:t>
            </w:r>
          </w:p>
        </w:tc>
      </w:tr>
      <w:tr w:rsidR="00040DD5" w:rsidRPr="00040DD5" w14:paraId="13EA13F6" w14:textId="77777777" w:rsidTr="007372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</w:tcPr>
          <w:p w14:paraId="183092E2" w14:textId="77777777" w:rsidR="00040DD5" w:rsidRPr="00040DD5" w:rsidRDefault="00040DD5" w:rsidP="00040DD5">
            <w:r w:rsidRPr="00040DD5">
              <w:t>S2/S42</w:t>
            </w:r>
          </w:p>
        </w:tc>
        <w:tc>
          <w:tcPr>
            <w:tcW w:w="5301" w:type="dxa"/>
          </w:tcPr>
          <w:p w14:paraId="1A7FA95E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(Bylnice – Horní Lideč – Vsetín –) Valašské Meziříčí – Rožnov pod Radhoštěm</w:t>
            </w:r>
          </w:p>
        </w:tc>
        <w:tc>
          <w:tcPr>
            <w:tcW w:w="2017" w:type="dxa"/>
          </w:tcPr>
          <w:p w14:paraId="2E9136A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60 min. ve špičkách PD</w:t>
            </w:r>
          </w:p>
        </w:tc>
      </w:tr>
      <w:tr w:rsidR="00040DD5" w:rsidRPr="00040DD5" w14:paraId="2B7F9645" w14:textId="77777777" w:rsidTr="007372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</w:tcPr>
          <w:p w14:paraId="160C8ACD" w14:textId="77777777" w:rsidR="00040DD5" w:rsidRPr="00040DD5" w:rsidRDefault="00040DD5" w:rsidP="00040DD5">
            <w:r w:rsidRPr="00040DD5">
              <w:t>S3/Sp3</w:t>
            </w:r>
          </w:p>
        </w:tc>
        <w:tc>
          <w:tcPr>
            <w:tcW w:w="5301" w:type="dxa"/>
          </w:tcPr>
          <w:p w14:paraId="7A35AA6B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Vsetín – Hranice na Moravě (- Přerov – Olomouc)</w:t>
            </w:r>
          </w:p>
        </w:tc>
        <w:tc>
          <w:tcPr>
            <w:tcW w:w="2017" w:type="dxa"/>
          </w:tcPr>
          <w:p w14:paraId="77D7C3C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60/120 min.</w:t>
            </w:r>
          </w:p>
        </w:tc>
      </w:tr>
      <w:tr w:rsidR="00040DD5" w:rsidRPr="00040DD5" w14:paraId="44FD8E9C" w14:textId="77777777" w:rsidTr="007372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</w:tcPr>
          <w:p w14:paraId="58B4A636" w14:textId="77777777" w:rsidR="00040DD5" w:rsidRPr="00040DD5" w:rsidRDefault="00040DD5" w:rsidP="00040DD5">
            <w:r w:rsidRPr="00040DD5">
              <w:t>S4</w:t>
            </w:r>
          </w:p>
        </w:tc>
        <w:tc>
          <w:tcPr>
            <w:tcW w:w="5301" w:type="dxa"/>
          </w:tcPr>
          <w:p w14:paraId="25595AF5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Kojetín – Hulín – Valašské Meziříčí – Rožnov pod Radhoštěm</w:t>
            </w:r>
          </w:p>
        </w:tc>
        <w:tc>
          <w:tcPr>
            <w:tcW w:w="2017" w:type="dxa"/>
          </w:tcPr>
          <w:p w14:paraId="70032DB6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 xml:space="preserve">60 min. </w:t>
            </w:r>
          </w:p>
        </w:tc>
      </w:tr>
      <w:tr w:rsidR="00040DD5" w:rsidRPr="00040DD5" w14:paraId="7BA1C35B" w14:textId="77777777" w:rsidTr="007372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</w:tcPr>
          <w:p w14:paraId="4E54DB4D" w14:textId="77777777" w:rsidR="00040DD5" w:rsidRPr="00040DD5" w:rsidRDefault="00040DD5" w:rsidP="00040DD5">
            <w:r w:rsidRPr="00040DD5">
              <w:t>Sp</w:t>
            </w:r>
          </w:p>
        </w:tc>
        <w:tc>
          <w:tcPr>
            <w:tcW w:w="5301" w:type="dxa"/>
          </w:tcPr>
          <w:p w14:paraId="286DF0A4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Valašské Meziříčí – Frenštát pod Radhoštěm/Studénka – Ostrava</w:t>
            </w:r>
          </w:p>
        </w:tc>
        <w:tc>
          <w:tcPr>
            <w:tcW w:w="2017" w:type="dxa"/>
          </w:tcPr>
          <w:p w14:paraId="1CB58AF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0DD5">
              <w:t>60/120 min.</w:t>
            </w:r>
          </w:p>
        </w:tc>
      </w:tr>
      <w:tr w:rsidR="00040DD5" w:rsidRPr="00040DD5" w14:paraId="56D563F8" w14:textId="77777777" w:rsidTr="0073725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6" w:type="dxa"/>
            <w:tcBorders>
              <w:top w:val="single" w:sz="2" w:space="0" w:color="auto"/>
            </w:tcBorders>
            <w:shd w:val="clear" w:color="auto" w:fill="auto"/>
          </w:tcPr>
          <w:p w14:paraId="07D063C9" w14:textId="77777777" w:rsidR="00040DD5" w:rsidRPr="00040DD5" w:rsidRDefault="00040DD5" w:rsidP="00040DD5">
            <w:pPr>
              <w:rPr>
                <w:b w:val="0"/>
              </w:rPr>
            </w:pPr>
            <w:r w:rsidRPr="00040DD5">
              <w:rPr>
                <w:b w:val="0"/>
              </w:rPr>
              <w:t>R84</w:t>
            </w:r>
          </w:p>
        </w:tc>
        <w:tc>
          <w:tcPr>
            <w:tcW w:w="5301" w:type="dxa"/>
            <w:tcBorders>
              <w:top w:val="single" w:sz="2" w:space="0" w:color="auto"/>
            </w:tcBorders>
            <w:shd w:val="clear" w:color="auto" w:fill="auto"/>
          </w:tcPr>
          <w:p w14:paraId="6090D4E2" w14:textId="77777777" w:rsidR="00040DD5" w:rsidRPr="00040DD5" w:rsidRDefault="00040DD5" w:rsidP="00040DD5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40DD5">
              <w:rPr>
                <w:b w:val="0"/>
              </w:rPr>
              <w:t>Vsetín - /Hranice na Moravě mimo/ - Ostrava</w:t>
            </w:r>
          </w:p>
        </w:tc>
        <w:tc>
          <w:tcPr>
            <w:tcW w:w="2017" w:type="dxa"/>
            <w:tcBorders>
              <w:top w:val="single" w:sz="2" w:space="0" w:color="auto"/>
            </w:tcBorders>
            <w:shd w:val="clear" w:color="auto" w:fill="auto"/>
          </w:tcPr>
          <w:p w14:paraId="2F43CB27" w14:textId="77777777" w:rsidR="00040DD5" w:rsidRPr="00040DD5" w:rsidRDefault="00040DD5" w:rsidP="00040DD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40DD5">
              <w:rPr>
                <w:b w:val="0"/>
              </w:rPr>
              <w:t>60 min.</w:t>
            </w:r>
          </w:p>
        </w:tc>
      </w:tr>
    </w:tbl>
    <w:p w14:paraId="536901E6" w14:textId="77777777" w:rsidR="00040DD5" w:rsidRPr="00040DD5" w:rsidRDefault="00040DD5" w:rsidP="00040DD5">
      <w:pPr>
        <w:pStyle w:val="Nadpis3"/>
        <w:rPr>
          <w:noProof/>
        </w:rPr>
      </w:pPr>
      <w:bookmarkStart w:id="23" w:name="_Toc148597868"/>
      <w:bookmarkEnd w:id="22"/>
      <w:r w:rsidRPr="00040DD5">
        <w:rPr>
          <w:noProof/>
        </w:rPr>
        <w:t>Výhledový rozsah dopravy</w:t>
      </w:r>
      <w:bookmarkEnd w:id="23"/>
    </w:p>
    <w:p w14:paraId="7E7AC877" w14:textId="77777777" w:rsidR="00040DD5" w:rsidRPr="00040DD5" w:rsidRDefault="00040DD5" w:rsidP="00040DD5">
      <w:pPr>
        <w:rPr>
          <w:noProof/>
        </w:rPr>
      </w:pPr>
      <w:bookmarkStart w:id="24" w:name="_Hlk122510888"/>
      <w:r w:rsidRPr="00040DD5">
        <w:rPr>
          <w:noProof/>
        </w:rPr>
        <w:t xml:space="preserve">Výhledový počet </w:t>
      </w:r>
      <w:r w:rsidRPr="00040DD5">
        <w:rPr>
          <w:b/>
          <w:noProof/>
        </w:rPr>
        <w:t>vlaků osobní dopravy</w:t>
      </w:r>
      <w:r w:rsidRPr="00040DD5">
        <w:rPr>
          <w:noProof/>
        </w:rPr>
        <w:t xml:space="preserve"> je uveden podle projednání s objednateli. </w:t>
      </w:r>
    </w:p>
    <w:p w14:paraId="47697D5C" w14:textId="08EA8394" w:rsidR="00040DD5" w:rsidRPr="00040DD5" w:rsidRDefault="00040DD5" w:rsidP="00040DD5">
      <w:pPr>
        <w:rPr>
          <w:noProof/>
        </w:rPr>
      </w:pPr>
      <w:r w:rsidRPr="00040DD5">
        <w:rPr>
          <w:noProof/>
        </w:rPr>
        <w:t>V</w:t>
      </w:r>
      <w:r w:rsidR="00DA0A59">
        <w:rPr>
          <w:noProof/>
        </w:rPr>
        <w:t>e v</w:t>
      </w:r>
      <w:r w:rsidRPr="00040DD5">
        <w:rPr>
          <w:noProof/>
        </w:rPr>
        <w:t>ýhledov</w:t>
      </w:r>
      <w:r w:rsidR="00DA0A59">
        <w:rPr>
          <w:noProof/>
        </w:rPr>
        <w:t>ém</w:t>
      </w:r>
      <w:r w:rsidRPr="00040DD5">
        <w:rPr>
          <w:noProof/>
        </w:rPr>
        <w:t xml:space="preserve"> rozsah</w:t>
      </w:r>
      <w:r w:rsidR="00DA0A59">
        <w:rPr>
          <w:noProof/>
        </w:rPr>
        <w:t>u</w:t>
      </w:r>
      <w:r w:rsidRPr="00040DD5">
        <w:rPr>
          <w:noProof/>
        </w:rPr>
        <w:t xml:space="preserve"> </w:t>
      </w:r>
      <w:r w:rsidRPr="00040DD5">
        <w:rPr>
          <w:b/>
          <w:noProof/>
        </w:rPr>
        <w:t>nákladní dopravy</w:t>
      </w:r>
      <w:r w:rsidRPr="00040DD5">
        <w:rPr>
          <w:noProof/>
        </w:rPr>
        <w:t xml:space="preserve"> k roku 2035</w:t>
      </w:r>
      <w:r w:rsidR="00DA0A59">
        <w:rPr>
          <w:noProof/>
        </w:rPr>
        <w:t xml:space="preserve"> j</w:t>
      </w:r>
      <w:r w:rsidRPr="00040DD5">
        <w:rPr>
          <w:noProof/>
        </w:rPr>
        <w:t xml:space="preserve">e očekáváno denně 41 vlaků v úseku Lhotka nad Bečvou – Valašské Meziříčí, 33 vlaků v úseku Jablůnka – Valašské Meziříčí, 7 vlaků v úseku Branky na Moravě – Valašské Meziříčí, 3 vlaky v úseku Hostašovice – Valašské Meziříčí a 2 vlaky v úseku Střítež nad Bečvou – Valašské Meziříčí. Tyto hodnoty byly promítnuty do tabulky </w:t>
      </w:r>
      <w:r w:rsidR="00833B3B" w:rsidRPr="00833B3B">
        <w:rPr>
          <w:noProof/>
        </w:rPr>
        <w:t>č. 4</w:t>
      </w:r>
      <w:r w:rsidRPr="00040DD5">
        <w:rPr>
          <w:noProof/>
        </w:rPr>
        <w:t xml:space="preserve">.  </w:t>
      </w:r>
    </w:p>
    <w:p w14:paraId="68EBB1F9" w14:textId="0B34AD6F" w:rsidR="00833B3B" w:rsidRDefault="00833B3B" w:rsidP="00833B3B">
      <w:pPr>
        <w:pStyle w:val="Titulek"/>
        <w:keepNext/>
      </w:pPr>
      <w:bookmarkStart w:id="25" w:name="_Toc148597849"/>
      <w:bookmarkEnd w:id="24"/>
      <w:r>
        <w:t xml:space="preserve">Tabulka </w:t>
      </w:r>
      <w:fldSimple w:instr=" SEQ Tabulka \* ARABIC ">
        <w:r w:rsidR="00C16554">
          <w:rPr>
            <w:noProof/>
          </w:rPr>
          <w:t>4</w:t>
        </w:r>
      </w:fldSimple>
      <w:r>
        <w:t xml:space="preserve">: </w:t>
      </w:r>
      <w:r w:rsidRPr="003D5EA7">
        <w:t>Rozsah dopravy, výhledový stav</w:t>
      </w:r>
      <w:bookmarkEnd w:id="25"/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2861"/>
        <w:gridCol w:w="448"/>
        <w:gridCol w:w="441"/>
        <w:gridCol w:w="489"/>
        <w:gridCol w:w="528"/>
        <w:gridCol w:w="638"/>
        <w:gridCol w:w="439"/>
        <w:gridCol w:w="439"/>
        <w:gridCol w:w="489"/>
        <w:gridCol w:w="528"/>
        <w:gridCol w:w="638"/>
        <w:gridCol w:w="736"/>
      </w:tblGrid>
      <w:tr w:rsidR="00040DD5" w:rsidRPr="00040DD5" w14:paraId="0F6D3DBF" w14:textId="77777777" w:rsidTr="00833B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3" w:type="dxa"/>
            <w:vMerge w:val="restart"/>
          </w:tcPr>
          <w:p w14:paraId="1BD351E1" w14:textId="77777777" w:rsidR="00040DD5" w:rsidRPr="00FA135A" w:rsidRDefault="00040DD5" w:rsidP="00040DD5">
            <w:pPr>
              <w:rPr>
                <w:b/>
                <w:noProof/>
              </w:rPr>
            </w:pPr>
            <w:bookmarkStart w:id="26" w:name="_Hlk122510923"/>
            <w:r w:rsidRPr="00FA135A">
              <w:rPr>
                <w:b/>
                <w:noProof/>
              </w:rPr>
              <w:t>Úsek</w:t>
            </w:r>
          </w:p>
        </w:tc>
        <w:tc>
          <w:tcPr>
            <w:tcW w:w="2648" w:type="dxa"/>
            <w:gridSpan w:val="5"/>
          </w:tcPr>
          <w:p w14:paraId="14F8EA5A" w14:textId="735D5DA0" w:rsidR="00040DD5" w:rsidRPr="00FA135A" w:rsidRDefault="00040DD5" w:rsidP="00040D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FA135A">
              <w:rPr>
                <w:b/>
                <w:noProof/>
              </w:rPr>
              <w:t>Směr Lhotka n.</w:t>
            </w:r>
            <w:r w:rsidR="00F3169F" w:rsidRPr="00FA135A">
              <w:rPr>
                <w:b/>
                <w:noProof/>
              </w:rPr>
              <w:t xml:space="preserve"> </w:t>
            </w:r>
            <w:r w:rsidRPr="00FA135A">
              <w:rPr>
                <w:b/>
                <w:noProof/>
              </w:rPr>
              <w:t>B., Jablůnka, Branky n</w:t>
            </w:r>
            <w:r w:rsidR="00DA0A59" w:rsidRPr="00FA135A">
              <w:rPr>
                <w:b/>
                <w:noProof/>
              </w:rPr>
              <w:t xml:space="preserve">a </w:t>
            </w:r>
            <w:r w:rsidRPr="00FA135A">
              <w:rPr>
                <w:b/>
                <w:noProof/>
              </w:rPr>
              <w:t>M., Hostašovice, Střítež n.</w:t>
            </w:r>
            <w:r w:rsidR="00366E9B" w:rsidRPr="00FA135A">
              <w:rPr>
                <w:b/>
                <w:noProof/>
              </w:rPr>
              <w:t xml:space="preserve"> </w:t>
            </w:r>
            <w:r w:rsidRPr="00FA135A">
              <w:rPr>
                <w:b/>
                <w:noProof/>
              </w:rPr>
              <w:t>B.</w:t>
            </w:r>
          </w:p>
        </w:tc>
        <w:tc>
          <w:tcPr>
            <w:tcW w:w="2623" w:type="dxa"/>
            <w:gridSpan w:val="5"/>
          </w:tcPr>
          <w:p w14:paraId="2C43285B" w14:textId="77777777" w:rsidR="00040DD5" w:rsidRPr="00FA135A" w:rsidRDefault="00040DD5" w:rsidP="00040D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FA135A">
              <w:rPr>
                <w:b/>
                <w:noProof/>
              </w:rPr>
              <w:t>Směr Valašské Meziříčí</w:t>
            </w:r>
          </w:p>
        </w:tc>
        <w:tc>
          <w:tcPr>
            <w:tcW w:w="680" w:type="dxa"/>
            <w:vMerge w:val="restart"/>
          </w:tcPr>
          <w:p w14:paraId="2770049A" w14:textId="77777777" w:rsidR="00040DD5" w:rsidRPr="00FA135A" w:rsidRDefault="00040DD5" w:rsidP="00040D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FA135A">
              <w:rPr>
                <w:b/>
                <w:noProof/>
              </w:rPr>
              <w:t>Celkem</w:t>
            </w:r>
          </w:p>
        </w:tc>
      </w:tr>
      <w:tr w:rsidR="00040DD5" w:rsidRPr="00040DD5" w14:paraId="5250C971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3" w:type="dxa"/>
            <w:vMerge/>
          </w:tcPr>
          <w:p w14:paraId="6CE68BE5" w14:textId="77777777" w:rsidR="00040DD5" w:rsidRPr="00040DD5" w:rsidRDefault="00040DD5" w:rsidP="00040DD5">
            <w:pPr>
              <w:rPr>
                <w:noProof/>
              </w:rPr>
            </w:pPr>
          </w:p>
        </w:tc>
        <w:tc>
          <w:tcPr>
            <w:tcW w:w="488" w:type="dxa"/>
            <w:shd w:val="clear" w:color="auto" w:fill="F2F2F2" w:themeFill="background1" w:themeFillShade="F2"/>
          </w:tcPr>
          <w:p w14:paraId="6391C34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Ex</w:t>
            </w:r>
          </w:p>
        </w:tc>
        <w:tc>
          <w:tcPr>
            <w:tcW w:w="475" w:type="dxa"/>
            <w:shd w:val="clear" w:color="auto" w:fill="F2F2F2" w:themeFill="background1" w:themeFillShade="F2"/>
          </w:tcPr>
          <w:p w14:paraId="69FD7AF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R</w:t>
            </w:r>
          </w:p>
        </w:tc>
        <w:tc>
          <w:tcPr>
            <w:tcW w:w="489" w:type="dxa"/>
            <w:shd w:val="clear" w:color="auto" w:fill="F2F2F2" w:themeFill="background1" w:themeFillShade="F2"/>
          </w:tcPr>
          <w:p w14:paraId="3C645A4F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Sp*</w:t>
            </w:r>
          </w:p>
        </w:tc>
        <w:tc>
          <w:tcPr>
            <w:tcW w:w="558" w:type="dxa"/>
            <w:shd w:val="clear" w:color="auto" w:fill="F2F2F2" w:themeFill="background1" w:themeFillShade="F2"/>
          </w:tcPr>
          <w:p w14:paraId="70E96216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Os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4464DA9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Nex, Pn, Mn</w:t>
            </w:r>
          </w:p>
        </w:tc>
        <w:tc>
          <w:tcPr>
            <w:tcW w:w="469" w:type="dxa"/>
            <w:shd w:val="clear" w:color="auto" w:fill="F2F2F2" w:themeFill="background1" w:themeFillShade="F2"/>
          </w:tcPr>
          <w:p w14:paraId="6C2251E1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Ex</w:t>
            </w:r>
          </w:p>
        </w:tc>
        <w:tc>
          <w:tcPr>
            <w:tcW w:w="469" w:type="dxa"/>
            <w:shd w:val="clear" w:color="auto" w:fill="F2F2F2" w:themeFill="background1" w:themeFillShade="F2"/>
          </w:tcPr>
          <w:p w14:paraId="7BAC171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R</w:t>
            </w:r>
          </w:p>
        </w:tc>
        <w:tc>
          <w:tcPr>
            <w:tcW w:w="489" w:type="dxa"/>
            <w:shd w:val="clear" w:color="auto" w:fill="F2F2F2" w:themeFill="background1" w:themeFillShade="F2"/>
          </w:tcPr>
          <w:p w14:paraId="13FE3B4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Sp*</w:t>
            </w:r>
          </w:p>
        </w:tc>
        <w:tc>
          <w:tcPr>
            <w:tcW w:w="558" w:type="dxa"/>
            <w:shd w:val="clear" w:color="auto" w:fill="F2F2F2" w:themeFill="background1" w:themeFillShade="F2"/>
          </w:tcPr>
          <w:p w14:paraId="1B35B52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Os</w:t>
            </w:r>
          </w:p>
        </w:tc>
        <w:tc>
          <w:tcPr>
            <w:tcW w:w="638" w:type="dxa"/>
            <w:shd w:val="clear" w:color="auto" w:fill="F2F2F2" w:themeFill="background1" w:themeFillShade="F2"/>
          </w:tcPr>
          <w:p w14:paraId="7672FA72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Nex, Pn, Mn</w:t>
            </w:r>
          </w:p>
        </w:tc>
        <w:tc>
          <w:tcPr>
            <w:tcW w:w="680" w:type="dxa"/>
            <w:vMerge/>
          </w:tcPr>
          <w:p w14:paraId="33FED57C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D5" w:rsidRPr="00040DD5" w14:paraId="6C49B3A3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3" w:type="dxa"/>
          </w:tcPr>
          <w:p w14:paraId="004CD443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– Lhotka nad Bečvou</w:t>
            </w:r>
          </w:p>
        </w:tc>
        <w:tc>
          <w:tcPr>
            <w:tcW w:w="488" w:type="dxa"/>
          </w:tcPr>
          <w:p w14:paraId="1E77CA82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8/1</w:t>
            </w:r>
          </w:p>
        </w:tc>
        <w:tc>
          <w:tcPr>
            <w:tcW w:w="475" w:type="dxa"/>
          </w:tcPr>
          <w:p w14:paraId="74A0B19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53CA10A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558" w:type="dxa"/>
          </w:tcPr>
          <w:p w14:paraId="09EE8B7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638" w:type="dxa"/>
          </w:tcPr>
          <w:p w14:paraId="1F68830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20/1</w:t>
            </w:r>
          </w:p>
        </w:tc>
        <w:tc>
          <w:tcPr>
            <w:tcW w:w="469" w:type="dxa"/>
          </w:tcPr>
          <w:p w14:paraId="0776C177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8/1</w:t>
            </w:r>
          </w:p>
        </w:tc>
        <w:tc>
          <w:tcPr>
            <w:tcW w:w="469" w:type="dxa"/>
          </w:tcPr>
          <w:p w14:paraId="71E8AE9F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067FF30A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558" w:type="dxa"/>
          </w:tcPr>
          <w:p w14:paraId="759B820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638" w:type="dxa"/>
          </w:tcPr>
          <w:p w14:paraId="69D90822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21/1</w:t>
            </w:r>
          </w:p>
        </w:tc>
        <w:tc>
          <w:tcPr>
            <w:tcW w:w="680" w:type="dxa"/>
          </w:tcPr>
          <w:p w14:paraId="4619F14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121/12</w:t>
            </w:r>
          </w:p>
        </w:tc>
      </w:tr>
      <w:tr w:rsidR="00040DD5" w:rsidRPr="00040DD5" w14:paraId="3392EB6C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3" w:type="dxa"/>
          </w:tcPr>
          <w:p w14:paraId="627D70AB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- Jablůnka</w:t>
            </w:r>
          </w:p>
        </w:tc>
        <w:tc>
          <w:tcPr>
            <w:tcW w:w="488" w:type="dxa"/>
          </w:tcPr>
          <w:p w14:paraId="01584517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8/1</w:t>
            </w:r>
          </w:p>
        </w:tc>
        <w:tc>
          <w:tcPr>
            <w:tcW w:w="475" w:type="dxa"/>
          </w:tcPr>
          <w:p w14:paraId="325F253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0723D97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558" w:type="dxa"/>
          </w:tcPr>
          <w:p w14:paraId="0559B250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19/2</w:t>
            </w:r>
          </w:p>
        </w:tc>
        <w:tc>
          <w:tcPr>
            <w:tcW w:w="638" w:type="dxa"/>
          </w:tcPr>
          <w:p w14:paraId="5D1A5242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16/1</w:t>
            </w:r>
          </w:p>
        </w:tc>
        <w:tc>
          <w:tcPr>
            <w:tcW w:w="469" w:type="dxa"/>
          </w:tcPr>
          <w:p w14:paraId="55D2901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8/1</w:t>
            </w:r>
          </w:p>
        </w:tc>
        <w:tc>
          <w:tcPr>
            <w:tcW w:w="469" w:type="dxa"/>
          </w:tcPr>
          <w:p w14:paraId="09EED046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29B8C1F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558" w:type="dxa"/>
          </w:tcPr>
          <w:p w14:paraId="2FF5942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19/2</w:t>
            </w:r>
          </w:p>
        </w:tc>
        <w:tc>
          <w:tcPr>
            <w:tcW w:w="638" w:type="dxa"/>
          </w:tcPr>
          <w:p w14:paraId="7B41157F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17/1</w:t>
            </w:r>
          </w:p>
        </w:tc>
        <w:tc>
          <w:tcPr>
            <w:tcW w:w="680" w:type="dxa"/>
          </w:tcPr>
          <w:p w14:paraId="0AE2A2F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119/12</w:t>
            </w:r>
          </w:p>
        </w:tc>
      </w:tr>
      <w:tr w:rsidR="00040DD5" w:rsidRPr="00040DD5" w14:paraId="0A09A45E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3" w:type="dxa"/>
          </w:tcPr>
          <w:p w14:paraId="265E5438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– Branky na Moravě</w:t>
            </w:r>
          </w:p>
        </w:tc>
        <w:tc>
          <w:tcPr>
            <w:tcW w:w="488" w:type="dxa"/>
          </w:tcPr>
          <w:p w14:paraId="0BD1B4D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5" w:type="dxa"/>
          </w:tcPr>
          <w:p w14:paraId="0713ADC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18FE163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558" w:type="dxa"/>
          </w:tcPr>
          <w:p w14:paraId="66A7FA6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638" w:type="dxa"/>
          </w:tcPr>
          <w:p w14:paraId="553F006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3/0</w:t>
            </w:r>
          </w:p>
        </w:tc>
        <w:tc>
          <w:tcPr>
            <w:tcW w:w="469" w:type="dxa"/>
          </w:tcPr>
          <w:p w14:paraId="6CFEB92B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69" w:type="dxa"/>
          </w:tcPr>
          <w:p w14:paraId="0312935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7AAB600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558" w:type="dxa"/>
          </w:tcPr>
          <w:p w14:paraId="1B8FA3D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638" w:type="dxa"/>
          </w:tcPr>
          <w:p w14:paraId="708D61F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4/0</w:t>
            </w:r>
          </w:p>
        </w:tc>
        <w:tc>
          <w:tcPr>
            <w:tcW w:w="680" w:type="dxa"/>
          </w:tcPr>
          <w:p w14:paraId="7AF45263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39/4</w:t>
            </w:r>
          </w:p>
        </w:tc>
      </w:tr>
      <w:tr w:rsidR="00040DD5" w:rsidRPr="00040DD5" w14:paraId="2EB9969E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3" w:type="dxa"/>
          </w:tcPr>
          <w:p w14:paraId="2EF35C21" w14:textId="77777777" w:rsidR="00040DD5" w:rsidRPr="00040DD5" w:rsidRDefault="00040DD5" w:rsidP="00040DD5">
            <w:pPr>
              <w:rPr>
                <w:noProof/>
              </w:rPr>
            </w:pPr>
            <w:r w:rsidRPr="00040DD5">
              <w:rPr>
                <w:noProof/>
              </w:rPr>
              <w:t>Valašské Meziříčí – Hostašovice</w:t>
            </w:r>
          </w:p>
        </w:tc>
        <w:tc>
          <w:tcPr>
            <w:tcW w:w="488" w:type="dxa"/>
          </w:tcPr>
          <w:p w14:paraId="49221762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5" w:type="dxa"/>
          </w:tcPr>
          <w:p w14:paraId="3BE7E9B0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4AFCCBAB" w14:textId="77777777" w:rsidR="00040DD5" w:rsidRPr="00040DD5" w:rsidRDefault="00040DD5" w:rsidP="00040D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558" w:type="dxa"/>
          </w:tcPr>
          <w:p w14:paraId="5F1E4AF1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638" w:type="dxa"/>
          </w:tcPr>
          <w:p w14:paraId="282DE801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469" w:type="dxa"/>
          </w:tcPr>
          <w:p w14:paraId="042A29C9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69" w:type="dxa"/>
          </w:tcPr>
          <w:p w14:paraId="6091B911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5175B21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16/2</w:t>
            </w:r>
          </w:p>
        </w:tc>
        <w:tc>
          <w:tcPr>
            <w:tcW w:w="558" w:type="dxa"/>
          </w:tcPr>
          <w:p w14:paraId="2B3E124B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638" w:type="dxa"/>
          </w:tcPr>
          <w:p w14:paraId="07509D58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2/0</w:t>
            </w:r>
          </w:p>
        </w:tc>
        <w:tc>
          <w:tcPr>
            <w:tcW w:w="680" w:type="dxa"/>
          </w:tcPr>
          <w:p w14:paraId="3AB0E122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35/4</w:t>
            </w:r>
          </w:p>
        </w:tc>
      </w:tr>
      <w:tr w:rsidR="00040DD5" w:rsidRPr="00040DD5" w14:paraId="56F9BD3C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23" w:type="dxa"/>
          </w:tcPr>
          <w:p w14:paraId="20D3E6E5" w14:textId="000D2344" w:rsidR="00040DD5" w:rsidRPr="00040DD5" w:rsidRDefault="00040DD5" w:rsidP="00D7400D">
            <w:pPr>
              <w:rPr>
                <w:noProof/>
              </w:rPr>
            </w:pPr>
            <w:r w:rsidRPr="00040DD5">
              <w:rPr>
                <w:noProof/>
              </w:rPr>
              <w:t>Valašské</w:t>
            </w:r>
            <w:r w:rsidR="00D7400D">
              <w:rPr>
                <w:noProof/>
              </w:rPr>
              <w:t> </w:t>
            </w:r>
            <w:r w:rsidRPr="00040DD5">
              <w:rPr>
                <w:noProof/>
              </w:rPr>
              <w:t>Meziříčí</w:t>
            </w:r>
            <w:r w:rsidR="00D7400D">
              <w:rPr>
                <w:noProof/>
              </w:rPr>
              <w:t> </w:t>
            </w:r>
            <w:r w:rsidRPr="00040DD5">
              <w:rPr>
                <w:noProof/>
              </w:rPr>
              <w:t>–</w:t>
            </w:r>
            <w:r w:rsidR="00D7400D">
              <w:rPr>
                <w:noProof/>
              </w:rPr>
              <w:t> </w:t>
            </w:r>
            <w:r w:rsidRPr="00040DD5">
              <w:rPr>
                <w:noProof/>
              </w:rPr>
              <w:t>Střítež</w:t>
            </w:r>
            <w:r w:rsidR="00D7400D">
              <w:rPr>
                <w:noProof/>
              </w:rPr>
              <w:t> </w:t>
            </w:r>
            <w:r w:rsidRPr="00040DD5">
              <w:rPr>
                <w:noProof/>
              </w:rPr>
              <w:t>nad</w:t>
            </w:r>
            <w:r w:rsidR="00D7400D">
              <w:rPr>
                <w:noProof/>
              </w:rPr>
              <w:t> </w:t>
            </w:r>
            <w:r w:rsidRPr="00040DD5">
              <w:rPr>
                <w:noProof/>
              </w:rPr>
              <w:t>Bečvou</w:t>
            </w:r>
          </w:p>
        </w:tc>
        <w:tc>
          <w:tcPr>
            <w:tcW w:w="488" w:type="dxa"/>
          </w:tcPr>
          <w:p w14:paraId="7C4D9B35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75" w:type="dxa"/>
          </w:tcPr>
          <w:p w14:paraId="48482D0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13F51BAD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558" w:type="dxa"/>
          </w:tcPr>
          <w:p w14:paraId="3D33680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26/4</w:t>
            </w:r>
          </w:p>
        </w:tc>
        <w:tc>
          <w:tcPr>
            <w:tcW w:w="638" w:type="dxa"/>
          </w:tcPr>
          <w:p w14:paraId="782BC15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469" w:type="dxa"/>
          </w:tcPr>
          <w:p w14:paraId="41A61CA6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69" w:type="dxa"/>
          </w:tcPr>
          <w:p w14:paraId="1CA5DC8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489" w:type="dxa"/>
          </w:tcPr>
          <w:p w14:paraId="220AFBAB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0/0</w:t>
            </w:r>
          </w:p>
        </w:tc>
        <w:tc>
          <w:tcPr>
            <w:tcW w:w="558" w:type="dxa"/>
          </w:tcPr>
          <w:p w14:paraId="1A659EE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26/4</w:t>
            </w:r>
          </w:p>
        </w:tc>
        <w:tc>
          <w:tcPr>
            <w:tcW w:w="638" w:type="dxa"/>
          </w:tcPr>
          <w:p w14:paraId="478E885E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1/0</w:t>
            </w:r>
          </w:p>
        </w:tc>
        <w:tc>
          <w:tcPr>
            <w:tcW w:w="680" w:type="dxa"/>
          </w:tcPr>
          <w:p w14:paraId="421266AC" w14:textId="77777777" w:rsidR="00040DD5" w:rsidRPr="00040DD5" w:rsidRDefault="00040DD5" w:rsidP="00040DD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40DD5">
              <w:rPr>
                <w:noProof/>
              </w:rPr>
              <w:t>54/8</w:t>
            </w:r>
          </w:p>
        </w:tc>
      </w:tr>
      <w:tr w:rsidR="00040DD5" w:rsidRPr="00040DD5" w14:paraId="3BF9D393" w14:textId="77777777" w:rsidTr="00833B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4" w:type="dxa"/>
            <w:gridSpan w:val="12"/>
          </w:tcPr>
          <w:p w14:paraId="45DD7E17" w14:textId="77777777" w:rsidR="00040DD5" w:rsidRPr="00040DD5" w:rsidRDefault="00040DD5" w:rsidP="0073725B">
            <w:pPr>
              <w:spacing w:after="120"/>
              <w:jc w:val="center"/>
              <w:rPr>
                <w:noProof/>
              </w:rPr>
            </w:pPr>
            <w:r w:rsidRPr="00040DD5">
              <w:rPr>
                <w:noProof/>
              </w:rPr>
              <w:t>Počty vlaků odpovídají pracovnímu dni a jsou uvedeny v pořadí celodenní / za špičkové 2 hodiny (16 – 18 hod.)</w:t>
            </w:r>
          </w:p>
          <w:p w14:paraId="5D3B0348" w14:textId="471C5DF6" w:rsidR="00040DD5" w:rsidRPr="00040DD5" w:rsidRDefault="00D7400D" w:rsidP="0073725B">
            <w:pPr>
              <w:ind w:left="58"/>
              <w:contextualSpacing/>
              <w:rPr>
                <w:noProof/>
              </w:rPr>
            </w:pPr>
            <w:r>
              <w:rPr>
                <w:noProof/>
              </w:rPr>
              <w:t xml:space="preserve">* </w:t>
            </w:r>
            <w:r w:rsidR="00040DD5" w:rsidRPr="00040DD5">
              <w:rPr>
                <w:noProof/>
              </w:rPr>
              <w:t xml:space="preserve">Poznámka k tabulce: Vlaky linky S3 (Olomouc -) Přerov-Vsetín + Sp3 Olomouc – Hranice – Vsetín jsou pro ŽST Valašské Meziříčí uvažovány v kategorii Os (linky jsou vedeny v prokladu a v úseku Hranice </w:t>
            </w:r>
            <w:r w:rsidR="00DA0A59">
              <w:rPr>
                <w:noProof/>
              </w:rPr>
              <w:t xml:space="preserve">na </w:t>
            </w:r>
            <w:r w:rsidR="00040DD5" w:rsidRPr="00040DD5">
              <w:rPr>
                <w:noProof/>
              </w:rPr>
              <w:t>M. – Vsetín zastavují ve všech stanicích a zastávkách).</w:t>
            </w:r>
          </w:p>
        </w:tc>
      </w:tr>
    </w:tbl>
    <w:p w14:paraId="20A4DCCB" w14:textId="77777777" w:rsidR="007B5810" w:rsidRDefault="006947AD" w:rsidP="007B5810">
      <w:pPr>
        <w:pStyle w:val="Nadpis1"/>
      </w:pPr>
      <w:bookmarkStart w:id="27" w:name="_Toc148597869"/>
      <w:bookmarkEnd w:id="26"/>
      <w:r>
        <w:t>Návrh variant</w:t>
      </w:r>
      <w:bookmarkEnd w:id="27"/>
    </w:p>
    <w:p w14:paraId="6FB70D18" w14:textId="77777777" w:rsidR="00B02CF9" w:rsidRPr="006C75C4" w:rsidRDefault="00E15FD4" w:rsidP="00B02CF9">
      <w:pPr>
        <w:pStyle w:val="Nadpis2"/>
        <w:rPr>
          <w:noProof/>
        </w:rPr>
      </w:pPr>
      <w:bookmarkStart w:id="28" w:name="_Ref36030015"/>
      <w:bookmarkStart w:id="29" w:name="_Ref36030021"/>
      <w:bookmarkStart w:id="30" w:name="_Toc148597870"/>
      <w:r w:rsidRPr="006C75C4">
        <w:rPr>
          <w:noProof/>
        </w:rPr>
        <w:t>Varianta bez projektu</w:t>
      </w:r>
      <w:bookmarkEnd w:id="28"/>
      <w:bookmarkEnd w:id="29"/>
      <w:bookmarkEnd w:id="30"/>
    </w:p>
    <w:p w14:paraId="5C7E3825" w14:textId="61FA9A79" w:rsidR="0034229E" w:rsidRDefault="001443E6" w:rsidP="00B02CF9">
      <w:r>
        <w:t xml:space="preserve">Varianta bez projektu modeluje, jak by se vyvíjel technický stav </w:t>
      </w:r>
      <w:r w:rsidR="00970FFD">
        <w:t>výpravní budovy a nástupišť v </w:t>
      </w:r>
      <w:r w:rsidR="00C4148B">
        <w:t>ŽST</w:t>
      </w:r>
      <w:r w:rsidR="00970FFD">
        <w:t xml:space="preserve"> Valašské Meziříčí</w:t>
      </w:r>
      <w:r>
        <w:t xml:space="preserve"> během hodnot</w:t>
      </w:r>
      <w:r w:rsidR="00DA0A59">
        <w:t>i</w:t>
      </w:r>
      <w:r>
        <w:t xml:space="preserve">cího období, pokud by nedošlo k realizaci investiční akce. Slouží jako srovnávací varianta pro ekonomické hodnocení. </w:t>
      </w:r>
      <w:r w:rsidR="00D7400D">
        <w:t xml:space="preserve">Varianta bez projektu je sestavena pro území řešené v projektové variantě, tj. nástupišť a kolejí kolem nich, ale nezabývá se ostatními částmi stanice – nákladními kolejemi, </w:t>
      </w:r>
      <w:proofErr w:type="spellStart"/>
      <w:r w:rsidR="00D7400D">
        <w:t>zhlavími</w:t>
      </w:r>
      <w:proofErr w:type="spellEnd"/>
      <w:r w:rsidR="00D7400D">
        <w:t>, SZZ atd.</w:t>
      </w:r>
    </w:p>
    <w:p w14:paraId="2D37C14F" w14:textId="63C55A81" w:rsidR="00463EB9" w:rsidRDefault="00463EB9" w:rsidP="0061213D">
      <w:r>
        <w:t xml:space="preserve">V roce </w:t>
      </w:r>
      <w:r w:rsidRPr="00B22C0A">
        <w:t>2026 se</w:t>
      </w:r>
      <w:r>
        <w:t xml:space="preserve"> počítá s pracemi v rámci hlavních kolejí č. 1 a 2. Rekonstrukce ostatních kolejí je uvažována na rok 2028. Během těchto prací dojde k demontáži stávajícího železničního svršku a spodku. V rámci prací na kolejovém roštu hlavních kolejí budou stávající pražce </w:t>
      </w:r>
      <w:r w:rsidR="00B22C0A">
        <w:br/>
      </w:r>
      <w:r>
        <w:t>a kolejnice nahrazeny za nové betonové pražce a kolejnice s tvarem 60E2,</w:t>
      </w:r>
      <w:r w:rsidRPr="00BE5459">
        <w:t xml:space="preserve"> </w:t>
      </w:r>
      <w:r>
        <w:t xml:space="preserve">které jsou </w:t>
      </w:r>
      <w:r>
        <w:lastRenderedPageBreak/>
        <w:t xml:space="preserve">vhodnější pro zatížení, </w:t>
      </w:r>
      <w:r w:rsidR="002142A9">
        <w:t>s nímž</w:t>
      </w:r>
      <w:r>
        <w:t xml:space="preserve"> je na trati uvažováno. Shodně v letech, kdy se uvažuje rekonstrukce hlavních a vedlejších kolejí, bude také probíhat obnova nástupišť, kde proběhne úprava povrchů a také výměna prvků, které nevyhovují dnešním </w:t>
      </w:r>
      <w:r w:rsidRPr="0061213D">
        <w:t>normám. Stejné rozdělení prací se týká také činnost</w:t>
      </w:r>
      <w:r w:rsidR="002142A9" w:rsidRPr="0061213D">
        <w:t>í</w:t>
      </w:r>
      <w:r w:rsidRPr="0061213D">
        <w:t xml:space="preserve"> v rámci trakce, kde bude vyměněno trakční</w:t>
      </w:r>
      <w:r w:rsidR="002142A9" w:rsidRPr="0061213D">
        <w:t xml:space="preserve"> vedení</w:t>
      </w:r>
      <w:r>
        <w:t xml:space="preserve"> v kolejích 1, 2, 4 a 6. V roce 2026 a 2028 budou také vyměněny 3 ks EOV</w:t>
      </w:r>
      <w:r w:rsidR="00D7400D">
        <w:t xml:space="preserve"> na třech dotčených výhybkách</w:t>
      </w:r>
      <w:r>
        <w:t>.</w:t>
      </w:r>
    </w:p>
    <w:p w14:paraId="736D0FC8" w14:textId="169BE12E" w:rsidR="00463EB9" w:rsidRDefault="00463EB9" w:rsidP="00463EB9">
      <w:r>
        <w:t>V roce 2036 dosáhnou konce své životnosti prvky sdělovacího zařízení pro cestující</w:t>
      </w:r>
      <w:r w:rsidR="00B22C0A">
        <w:t xml:space="preserve"> </w:t>
      </w:r>
      <w:r>
        <w:t>a kamerové systémy. Proto se v tomto roce uvažuje s jejich obnovou. Shodně v tomto roce budou obnoveny osvětlovací stožáry.</w:t>
      </w:r>
      <w:r w:rsidR="00490C11">
        <w:t xml:space="preserve"> </w:t>
      </w:r>
      <w:r w:rsidR="004D468D">
        <w:t>D</w:t>
      </w:r>
      <w:r w:rsidR="00490C11">
        <w:t xml:space="preserve">ojde také </w:t>
      </w:r>
      <w:r w:rsidR="004D468D">
        <w:t>k obnově zastřešení nástupišť.</w:t>
      </w:r>
      <w:r w:rsidR="001505D3">
        <w:t xml:space="preserve"> </w:t>
      </w:r>
    </w:p>
    <w:p w14:paraId="751A599B" w14:textId="723F5EC4" w:rsidR="00F72153" w:rsidRDefault="00F72153" w:rsidP="00463EB9">
      <w:r>
        <w:t>V roce 2039 proběhne významná oprava pochodu, který byl vystavěn v roce 1939</w:t>
      </w:r>
      <w:r w:rsidR="00E362E1">
        <w:t>.</w:t>
      </w:r>
    </w:p>
    <w:p w14:paraId="702B5BDB" w14:textId="48F13E42" w:rsidR="004D468D" w:rsidRPr="004E02BB" w:rsidRDefault="004D468D" w:rsidP="00463EB9">
      <w:r w:rsidRPr="004E02BB">
        <w:t>V roce 2046 bude obnoveno informační zařízení, které bude v té době již na pokraji životnosti.</w:t>
      </w:r>
    </w:p>
    <w:p w14:paraId="1AFDCD12" w14:textId="2052C387" w:rsidR="00066D89" w:rsidRPr="0061213D" w:rsidRDefault="00066D89" w:rsidP="00066D89">
      <w:r w:rsidRPr="004E02BB">
        <w:t>Na výpravní budově se v letech 2026–202</w:t>
      </w:r>
      <w:r w:rsidR="00D327FF" w:rsidRPr="004E02BB">
        <w:t>7</w:t>
      </w:r>
      <w:r w:rsidRPr="004E02BB">
        <w:t xml:space="preserve"> uvažuje s odstraněním poruchových stavů nosných konstrukcí, poruch spojených s vlhkostí a zatékáním. Dále</w:t>
      </w:r>
      <w:r w:rsidR="002142A9" w:rsidRPr="004E02BB">
        <w:t xml:space="preserve"> dojde</w:t>
      </w:r>
      <w:r w:rsidRPr="004E02BB">
        <w:t xml:space="preserve"> k výměně přípojek vody, kanalizace a oprav</w:t>
      </w:r>
      <w:r w:rsidR="002142A9" w:rsidRPr="004E02BB">
        <w:t>ě</w:t>
      </w:r>
      <w:r w:rsidRPr="004E02BB">
        <w:t xml:space="preserve"> rozvodů. V nevyužívaných prostorách bude nutné instalovat topení pro účely temperování. V budově se uvažuje s kompletní výměnou silnoproudých </w:t>
      </w:r>
      <w:r w:rsidR="002142A9" w:rsidRPr="004E02BB">
        <w:br/>
      </w:r>
      <w:r w:rsidRPr="004E02BB">
        <w:t>a slaboproudých rozvodů. V</w:t>
      </w:r>
      <w:r w:rsidR="00D327FF" w:rsidRPr="004E02BB">
        <w:t> roce 2028</w:t>
      </w:r>
      <w:r w:rsidRPr="004E02BB">
        <w:t xml:space="preserve"> bude nutné provést dílčí opravy fasády. Zásahy se dotknou také přístřešku nad 1. nástupištěm, který je svázán s objektem výpravní budovy. Další opravy se zaměří na střešní konstrukce nad částí C, která způsobuje zatékání. V tomto </w:t>
      </w:r>
      <w:r w:rsidR="00D327FF" w:rsidRPr="004E02BB">
        <w:t>roce</w:t>
      </w:r>
      <w:r w:rsidRPr="004E02BB">
        <w:t xml:space="preserve"> také dojde k doplnění bezpečnostních prvků budovy dle aktuální</w:t>
      </w:r>
      <w:r w:rsidR="002142A9" w:rsidRPr="004E02BB">
        <w:t>ch</w:t>
      </w:r>
      <w:r w:rsidRPr="004E02BB">
        <w:t xml:space="preserve"> směrnic</w:t>
      </w:r>
      <w:r w:rsidR="00D327FF" w:rsidRPr="004E02BB">
        <w:t xml:space="preserve">. </w:t>
      </w:r>
      <w:r w:rsidR="00BB7F3A" w:rsidRPr="004E02BB">
        <w:t>Bude provedena výměna prvků otopného systému a zdroje vytápění.</w:t>
      </w:r>
      <w:r w:rsidRPr="004E02BB">
        <w:t xml:space="preserve"> </w:t>
      </w:r>
      <w:r w:rsidR="00BB7F3A" w:rsidRPr="004E02BB">
        <w:t>V roce 2036</w:t>
      </w:r>
      <w:r w:rsidRPr="004E02BB">
        <w:t xml:space="preserve"> se uvažuje s obnovou povrchů v kancelářích, komerčních prostorách a v prostoru výpravní haly. </w:t>
      </w:r>
      <w:r w:rsidR="00BB7F3A" w:rsidRPr="004E02BB">
        <w:t>V roce 2041</w:t>
      </w:r>
      <w:r w:rsidRPr="004E02BB">
        <w:t xml:space="preserve"> dojde k výměně klempířských prvků fasády, bude vyčištěna omítka a provedena nov</w:t>
      </w:r>
      <w:r w:rsidR="00DA0A59" w:rsidRPr="004E02BB">
        <w:t>á</w:t>
      </w:r>
      <w:r w:rsidRPr="004E02BB">
        <w:t xml:space="preserve"> fasádní malba.</w:t>
      </w:r>
    </w:p>
    <w:p w14:paraId="43F6B0A7" w14:textId="77777777" w:rsidR="00B34E92" w:rsidRDefault="00E15FD4" w:rsidP="00B34E92">
      <w:pPr>
        <w:pStyle w:val="Nadpis2"/>
      </w:pPr>
      <w:bookmarkStart w:id="31" w:name="_Ref36030034"/>
      <w:bookmarkStart w:id="32" w:name="_Ref36030040"/>
      <w:bookmarkStart w:id="33" w:name="_Toc148597871"/>
      <w:r>
        <w:t>Varianta s projektem</w:t>
      </w:r>
      <w:bookmarkEnd w:id="31"/>
      <w:bookmarkEnd w:id="32"/>
      <w:bookmarkEnd w:id="33"/>
    </w:p>
    <w:p w14:paraId="69E3D97F" w14:textId="7A67527A" w:rsidR="00C16E9A" w:rsidRDefault="0020269E" w:rsidP="007E3370">
      <w:pPr>
        <w:rPr>
          <w:noProof/>
        </w:rPr>
      </w:pPr>
      <w:r>
        <w:rPr>
          <w:noProof/>
        </w:rPr>
        <w:t xml:space="preserve">Varianta s projektem představuje </w:t>
      </w:r>
      <w:r w:rsidR="00DD247E">
        <w:rPr>
          <w:noProof/>
        </w:rPr>
        <w:t>stav, kdy dojde k realizaci investice. Jedná se o řešení, které přinese zlepšení kvality</w:t>
      </w:r>
      <w:r w:rsidR="00210158">
        <w:rPr>
          <w:noProof/>
        </w:rPr>
        <w:t xml:space="preserve"> </w:t>
      </w:r>
      <w:r w:rsidR="00970FFD">
        <w:rPr>
          <w:noProof/>
        </w:rPr>
        <w:t>výpravní budovy a nástupišť</w:t>
      </w:r>
      <w:r w:rsidR="00210158">
        <w:rPr>
          <w:noProof/>
        </w:rPr>
        <w:t xml:space="preserve"> a s tím související kvality cestování</w:t>
      </w:r>
      <w:r w:rsidR="00DD247E">
        <w:rPr>
          <w:noProof/>
        </w:rPr>
        <w:t xml:space="preserve">, naplnění </w:t>
      </w:r>
      <w:r w:rsidR="00DD247E" w:rsidRPr="00854A05">
        <w:rPr>
          <w:noProof/>
        </w:rPr>
        <w:t>stanovených cílů a benefity z pohledu celé společnosti.</w:t>
      </w:r>
    </w:p>
    <w:p w14:paraId="605B7D51" w14:textId="197F3722" w:rsidR="004A49A4" w:rsidRDefault="004A49A4" w:rsidP="0073725B">
      <w:pPr>
        <w:pStyle w:val="Nadpis5"/>
      </w:pPr>
      <w:r>
        <w:t>Železniční s</w:t>
      </w:r>
      <w:r w:rsidR="00463EB9" w:rsidRPr="002142A9">
        <w:t>vršek</w:t>
      </w:r>
      <w:r w:rsidR="00DA0A59">
        <w:t xml:space="preserve"> a spodek</w:t>
      </w:r>
      <w:r>
        <w:tab/>
      </w:r>
    </w:p>
    <w:p w14:paraId="5EA2F704" w14:textId="3E1DCE04" w:rsidR="004A49A4" w:rsidRPr="008E5BFC" w:rsidRDefault="00463EB9" w:rsidP="00DA0A59">
      <w:r>
        <w:t xml:space="preserve">Rekonstrukce svršku i spodku </w:t>
      </w:r>
      <w:r w:rsidR="004B432A">
        <w:t xml:space="preserve">bude </w:t>
      </w:r>
      <w:r>
        <w:t>odpovíd</w:t>
      </w:r>
      <w:r w:rsidR="004B432A">
        <w:t>at</w:t>
      </w:r>
      <w:r>
        <w:t xml:space="preserve"> rozsahu potřebné</w:t>
      </w:r>
      <w:r w:rsidR="00BD06D0">
        <w:t>mu</w:t>
      </w:r>
      <w:r>
        <w:t xml:space="preserve"> pro rekonstrukci nástupišť. Kolejový rošt bude rekonstruován u kolejí, </w:t>
      </w:r>
      <w:r w:rsidRPr="00B22C0A">
        <w:t>které se nachází u nástupišť,</w:t>
      </w:r>
      <w:r>
        <w:t xml:space="preserve"> jde o koleje č. 1, 2, 4, 6</w:t>
      </w:r>
      <w:r w:rsidRPr="008E5BFC">
        <w:t xml:space="preserve">, </w:t>
      </w:r>
      <w:r w:rsidR="00BE27CB" w:rsidRPr="008E5BFC">
        <w:t>10_nová</w:t>
      </w:r>
      <w:r w:rsidRPr="008E5BFC">
        <w:t>. V omezené míře se rekonstrukce dotknou také kolejí 8</w:t>
      </w:r>
      <w:r w:rsidR="00BE27CB" w:rsidRPr="008E5BFC">
        <w:t>_nová</w:t>
      </w:r>
      <w:r w:rsidRPr="008E5BFC">
        <w:t>, 8b</w:t>
      </w:r>
      <w:r w:rsidR="00BE27CB" w:rsidRPr="008E5BFC">
        <w:t>_nová</w:t>
      </w:r>
      <w:r w:rsidRPr="008E5BFC">
        <w:t xml:space="preserve"> </w:t>
      </w:r>
      <w:r w:rsidR="001E32F8">
        <w:br/>
      </w:r>
      <w:r w:rsidRPr="008E5BFC">
        <w:t xml:space="preserve">a </w:t>
      </w:r>
      <w:r w:rsidR="00BE27CB" w:rsidRPr="008E5BFC">
        <w:t>16a_nová</w:t>
      </w:r>
      <w:r w:rsidRPr="008E5BFC">
        <w:t>. U kolejí 2a</w:t>
      </w:r>
      <w:r w:rsidR="00BE27CB" w:rsidRPr="008E5BFC">
        <w:t>_stará</w:t>
      </w:r>
      <w:r w:rsidRPr="008E5BFC">
        <w:t xml:space="preserve"> a 4a</w:t>
      </w:r>
      <w:r w:rsidR="00BE27CB" w:rsidRPr="008E5BFC">
        <w:t>_stará</w:t>
      </w:r>
      <w:r w:rsidRPr="008E5BFC">
        <w:t xml:space="preserve"> se počítá s jejich rušením. Pro hlavní koleje 1 a 2 se uvažuje s kolejnicemi tvaru 60E2, ostatní koleje budou osazeny kolejnicemi tvaru 49E1. Pražce budou nově betonové. </w:t>
      </w:r>
    </w:p>
    <w:p w14:paraId="30AC20DF" w14:textId="22132F7E" w:rsidR="00463EB9" w:rsidRPr="008E5BFC" w:rsidRDefault="00463EB9" w:rsidP="00AC3587">
      <w:r w:rsidRPr="008E5BFC">
        <w:t xml:space="preserve">V rozsahu </w:t>
      </w:r>
      <w:r w:rsidR="00BD06D0" w:rsidRPr="008E5BFC">
        <w:t xml:space="preserve">rekonstrukce </w:t>
      </w:r>
      <w:r w:rsidRPr="008E5BFC">
        <w:t>železničního svršku</w:t>
      </w:r>
      <w:r w:rsidR="00F66B69" w:rsidRPr="008E5BFC">
        <w:t xml:space="preserve"> (</w:t>
      </w:r>
      <w:r w:rsidR="00D1572B" w:rsidRPr="008E5BFC">
        <w:t>kolej č. 1, 2, 4, 6, 8</w:t>
      </w:r>
      <w:r w:rsidR="00BE27CB" w:rsidRPr="008E5BFC">
        <w:t>_nová</w:t>
      </w:r>
      <w:r w:rsidR="00D1572B" w:rsidRPr="008E5BFC">
        <w:t xml:space="preserve">, </w:t>
      </w:r>
      <w:r w:rsidR="00BE27CB" w:rsidRPr="008E5BFC">
        <w:t>10_nová</w:t>
      </w:r>
      <w:r w:rsidR="00D1572B" w:rsidRPr="008E5BFC">
        <w:t xml:space="preserve">, </w:t>
      </w:r>
      <w:r w:rsidR="003D3780" w:rsidRPr="008E5BFC">
        <w:t>10</w:t>
      </w:r>
      <w:r w:rsidR="00D1572B" w:rsidRPr="008E5BFC">
        <w:t>b</w:t>
      </w:r>
      <w:r w:rsidR="003D3780" w:rsidRPr="008E5BFC">
        <w:t>_nová</w:t>
      </w:r>
      <w:r w:rsidR="00D1572B" w:rsidRPr="008E5BFC">
        <w:t>)</w:t>
      </w:r>
      <w:r w:rsidRPr="008E5BFC">
        <w:t xml:space="preserve"> bude provedena sanace pražcového podloží, zřízení nových konstrukčních vrstev a zajištění odvodnění pomocí trativodů, které budou vyústěny do řeky </w:t>
      </w:r>
      <w:r w:rsidR="00BD06D0" w:rsidRPr="008E5BFC">
        <w:t xml:space="preserve">Rožnovské </w:t>
      </w:r>
      <w:r w:rsidRPr="008E5BFC">
        <w:t>Bečvy. Konstrukční vrstvy budou navrženy tak, aby vyhovovaly předpokládanému provoznímu zatížení, traťové třídě</w:t>
      </w:r>
      <w:r w:rsidR="00BD06D0" w:rsidRPr="008E5BFC">
        <w:t xml:space="preserve"> zatížení</w:t>
      </w:r>
      <w:r w:rsidRPr="008E5BFC">
        <w:t xml:space="preserve"> a navrhované rychlosti. Dále se uvažuje se zesílenou konstrukcí pražcového podloží v blízkosti mostu. </w:t>
      </w:r>
    </w:p>
    <w:p w14:paraId="04354CBC" w14:textId="77777777" w:rsidR="00463EB9" w:rsidRPr="008E5BFC" w:rsidRDefault="00463EB9" w:rsidP="0073725B">
      <w:pPr>
        <w:pStyle w:val="Nadpis5"/>
      </w:pPr>
      <w:r w:rsidRPr="008E5BFC">
        <w:t>Osvětlení</w:t>
      </w:r>
    </w:p>
    <w:p w14:paraId="0BCD6A8B" w14:textId="77F24840" w:rsidR="00463EB9" w:rsidRPr="008E5BFC" w:rsidRDefault="00463EB9" w:rsidP="00AC3587">
      <w:r w:rsidRPr="008E5BFC">
        <w:t>Osvětlení bude na nástupištích řešeno pomocí LED technologie na samostatných sklopných stožárech. V zastřešen</w:t>
      </w:r>
      <w:r w:rsidR="00252396" w:rsidRPr="008E5BFC">
        <w:t>é</w:t>
      </w:r>
      <w:r w:rsidRPr="008E5BFC">
        <w:t>m prostoru budou svítidla umístěna na konstrukci přístřešku.</w:t>
      </w:r>
      <w:r w:rsidR="0073725B" w:rsidRPr="008E5BFC">
        <w:t xml:space="preserve"> </w:t>
      </w:r>
      <w:r w:rsidRPr="008E5BFC">
        <w:t xml:space="preserve">V podchodu </w:t>
      </w:r>
      <w:r w:rsidR="004B432A" w:rsidRPr="008E5BFC">
        <w:t>se uvažuje</w:t>
      </w:r>
      <w:r w:rsidRPr="008E5BFC">
        <w:t xml:space="preserve"> svítidla zapu</w:t>
      </w:r>
      <w:r w:rsidR="004B432A" w:rsidRPr="008E5BFC">
        <w:t>stit</w:t>
      </w:r>
      <w:r w:rsidRPr="008E5BFC">
        <w:t xml:space="preserve"> do připravených výklenků.</w:t>
      </w:r>
    </w:p>
    <w:p w14:paraId="7202C67B" w14:textId="39C4A12D" w:rsidR="00463EB9" w:rsidRPr="008E5BFC" w:rsidRDefault="00463EB9" w:rsidP="0073725B">
      <w:pPr>
        <w:pStyle w:val="Nadpis5"/>
      </w:pPr>
      <w:r w:rsidRPr="008E5BFC">
        <w:t>Silnoproud</w:t>
      </w:r>
      <w:r w:rsidR="00B22C0A" w:rsidRPr="008E5BFC">
        <w:t>á zařízení</w:t>
      </w:r>
    </w:p>
    <w:p w14:paraId="1F1F4300" w14:textId="591C334E" w:rsidR="00BD2EC2" w:rsidRDefault="00463EB9" w:rsidP="009768AC">
      <w:r w:rsidRPr="008E5BFC">
        <w:t xml:space="preserve">Součástí prací </w:t>
      </w:r>
      <w:r w:rsidR="004B432A" w:rsidRPr="008E5BFC">
        <w:t>bude</w:t>
      </w:r>
      <w:r w:rsidRPr="008E5BFC">
        <w:t xml:space="preserve"> elektroinstalace napájení hlasových majáčků, čerpadel v podchodu </w:t>
      </w:r>
      <w:r w:rsidR="006E57BD">
        <w:br/>
      </w:r>
      <w:r w:rsidRPr="008E5BFC">
        <w:t>a výtahů. Dále bude zřízena komunikace prostřednictvím dispečerské říd</w:t>
      </w:r>
      <w:r w:rsidR="00DA0A59" w:rsidRPr="008E5BFC">
        <w:t>i</w:t>
      </w:r>
      <w:r w:rsidRPr="008E5BFC">
        <w:t xml:space="preserve">cí techniky s vizualizací na </w:t>
      </w:r>
      <w:proofErr w:type="spellStart"/>
      <w:r w:rsidRPr="008E5BFC">
        <w:t>elektrodispečinku</w:t>
      </w:r>
      <w:proofErr w:type="spellEnd"/>
      <w:r w:rsidRPr="008E5BFC">
        <w:t xml:space="preserve"> v Přerově. Stávající</w:t>
      </w:r>
      <w:r w:rsidR="004B432A" w:rsidRPr="008E5BFC">
        <w:t>ch</w:t>
      </w:r>
      <w:r w:rsidRPr="008E5BFC">
        <w:t xml:space="preserve"> stojan</w:t>
      </w:r>
      <w:r w:rsidR="004B432A" w:rsidRPr="008E5BFC">
        <w:t>ů</w:t>
      </w:r>
      <w:r w:rsidRPr="008E5BFC">
        <w:t xml:space="preserve"> EPZ </w:t>
      </w:r>
      <w:r w:rsidR="004B432A" w:rsidRPr="008E5BFC">
        <w:t>se dotkne změna polohy kolejiště a nástupišť. Jelikož jsou z pohledu dopravní technologie nepotřebné, budou zrušeny.</w:t>
      </w:r>
      <w:r w:rsidRPr="008E5BFC">
        <w:t xml:space="preserve"> Dojde tak</w:t>
      </w:r>
      <w:r w:rsidR="00252396" w:rsidRPr="008E5BFC">
        <w:t>é</w:t>
      </w:r>
      <w:r>
        <w:t xml:space="preserve"> k přeložkám stávajících kabelů NN a VN a úpravě rozvodny NN. U výhybky č. 39 </w:t>
      </w:r>
      <w:r>
        <w:lastRenderedPageBreak/>
        <w:t xml:space="preserve">dojde při její výměně k doplnění topných tyčí. U </w:t>
      </w:r>
      <w:r w:rsidR="00962111">
        <w:t xml:space="preserve">odstraněných </w:t>
      </w:r>
      <w:r>
        <w:t>výhybek 19 a 52 se elektrický ohřev výhybek ruší.</w:t>
      </w:r>
    </w:p>
    <w:p w14:paraId="0117C3E8" w14:textId="43CBF2A0" w:rsidR="00944EFA" w:rsidRPr="00944EFA" w:rsidRDefault="00463EB9" w:rsidP="009768AC">
      <w:r w:rsidRPr="0073725B">
        <w:rPr>
          <w:rFonts w:asciiTheme="majorHAnsi" w:eastAsiaTheme="majorEastAsia" w:hAnsiTheme="majorHAnsi" w:cstheme="majorBidi"/>
          <w:b/>
        </w:rPr>
        <w:t>Trakce</w:t>
      </w:r>
      <w:r w:rsidR="00944EFA" w:rsidRPr="0073725B">
        <w:rPr>
          <w:rFonts w:asciiTheme="majorHAnsi" w:eastAsiaTheme="majorEastAsia" w:hAnsiTheme="majorHAnsi" w:cstheme="majorBidi"/>
          <w:b/>
        </w:rPr>
        <w:br/>
      </w:r>
      <w:r w:rsidR="00B7765B">
        <w:t xml:space="preserve">Dojde k ovlivnění trakčního vedení </w:t>
      </w:r>
      <w:r w:rsidR="00944EFA" w:rsidRPr="00944EFA">
        <w:t xml:space="preserve">v celém rozsahu stavby. Stožáry trakčního vedení již nebudou situovány do přístřešků, </w:t>
      </w:r>
      <w:r w:rsidR="00944EFA" w:rsidRPr="00944EFA">
        <w:rPr>
          <w:rFonts w:ascii="Verdana" w:hAnsi="Verdana"/>
        </w:rPr>
        <w:t xml:space="preserve">nově budou mezi kolejemi </w:t>
      </w:r>
      <w:r w:rsidR="00944EFA" w:rsidRPr="008E5BFC">
        <w:rPr>
          <w:rFonts w:ascii="Verdana" w:hAnsi="Verdana"/>
        </w:rPr>
        <w:t xml:space="preserve">6 a </w:t>
      </w:r>
      <w:r w:rsidR="003D3780" w:rsidRPr="008E5BFC">
        <w:rPr>
          <w:rFonts w:ascii="Verdana" w:hAnsi="Verdana"/>
        </w:rPr>
        <w:t>10_nová</w:t>
      </w:r>
      <w:r w:rsidR="00944EFA" w:rsidRPr="00944EFA">
        <w:rPr>
          <w:rFonts w:ascii="Verdana" w:hAnsi="Verdana"/>
        </w:rPr>
        <w:t xml:space="preserve"> na jedné straně a na druhé straně mezi koleje</w:t>
      </w:r>
      <w:r w:rsidR="00881A8D">
        <w:rPr>
          <w:rFonts w:ascii="Verdana" w:hAnsi="Verdana"/>
        </w:rPr>
        <w:t>mi</w:t>
      </w:r>
      <w:r w:rsidR="00944EFA" w:rsidRPr="00944EFA">
        <w:rPr>
          <w:rFonts w:ascii="Verdana" w:hAnsi="Verdana"/>
        </w:rPr>
        <w:t xml:space="preserve"> 3 a 5.</w:t>
      </w:r>
      <w:r w:rsidR="00944EFA">
        <w:rPr>
          <w:rFonts w:ascii="Verdana" w:hAnsi="Verdana"/>
        </w:rPr>
        <w:t xml:space="preserve"> </w:t>
      </w:r>
      <w:r w:rsidR="00944EFA" w:rsidRPr="00944EFA">
        <w:rPr>
          <w:rFonts w:ascii="Verdana" w:hAnsi="Verdana"/>
        </w:rPr>
        <w:t xml:space="preserve">Všechny úpravy budou navrženy s ohledem na blížící se konverzi na jednotnou soustavu 25 </w:t>
      </w:r>
      <w:proofErr w:type="spellStart"/>
      <w:r w:rsidR="00944EFA" w:rsidRPr="00944EFA">
        <w:rPr>
          <w:rFonts w:ascii="Verdana" w:hAnsi="Verdana"/>
        </w:rPr>
        <w:t>kV</w:t>
      </w:r>
      <w:proofErr w:type="spellEnd"/>
      <w:r w:rsidR="00944EFA" w:rsidRPr="00944EFA">
        <w:rPr>
          <w:rFonts w:ascii="Verdana" w:hAnsi="Verdana"/>
        </w:rPr>
        <w:t xml:space="preserve"> AC.</w:t>
      </w:r>
    </w:p>
    <w:p w14:paraId="58C71CA1" w14:textId="77777777" w:rsidR="00463EB9" w:rsidRPr="0073725B" w:rsidRDefault="00463EB9" w:rsidP="004A49A4">
      <w:pPr>
        <w:spacing w:after="0"/>
        <w:rPr>
          <w:rFonts w:asciiTheme="majorHAnsi" w:eastAsiaTheme="majorEastAsia" w:hAnsiTheme="majorHAnsi" w:cstheme="majorBidi"/>
          <w:b/>
        </w:rPr>
      </w:pPr>
      <w:r w:rsidRPr="0073725B">
        <w:rPr>
          <w:rFonts w:asciiTheme="majorHAnsi" w:eastAsiaTheme="majorEastAsia" w:hAnsiTheme="majorHAnsi" w:cstheme="majorBidi"/>
          <w:b/>
        </w:rPr>
        <w:t>Železniční most (podchod pro cestující) ev. km 25,067</w:t>
      </w:r>
    </w:p>
    <w:p w14:paraId="69A23563" w14:textId="66F8CD0C" w:rsidR="00463EB9" w:rsidRDefault="00463EB9" w:rsidP="00AC3587">
      <w:r>
        <w:t xml:space="preserve">Nový podchod bude umístěn v ose stávajícího podchodu. Bude prodloužený skrz výpravní budovu a napojený na podchod, který </w:t>
      </w:r>
      <w:r w:rsidR="00962111">
        <w:t>po</w:t>
      </w:r>
      <w:r>
        <w:t xml:space="preserve">vede do areálu bývalé Křižanovy pily. Tento počin má být uskutečněn v rámci městské investiční akce. Osa celého podchodu se uvažuje přímá bez zakřivení. Přístupy do podchodu budou řešeny pomocí zastřešených schodišť a výtahů pro bezbariérový přístup. V podchodu </w:t>
      </w:r>
      <w:r w:rsidR="00B7765B">
        <w:t>se uvažuje s</w:t>
      </w:r>
      <w:r>
        <w:t xml:space="preserve"> navržen</w:t>
      </w:r>
      <w:r w:rsidR="00B7765B">
        <w:t>ím</w:t>
      </w:r>
      <w:r>
        <w:t xml:space="preserve"> nov</w:t>
      </w:r>
      <w:r w:rsidR="00B7765B">
        <w:t>ého</w:t>
      </w:r>
      <w:r>
        <w:t xml:space="preserve"> orientační</w:t>
      </w:r>
      <w:r w:rsidR="00B7765B">
        <w:t>ho</w:t>
      </w:r>
      <w:r>
        <w:t xml:space="preserve"> systém</w:t>
      </w:r>
      <w:r w:rsidR="00B7765B">
        <w:t>u</w:t>
      </w:r>
      <w:r>
        <w:t xml:space="preserve"> pro cestující, který </w:t>
      </w:r>
      <w:r w:rsidR="00B7765B">
        <w:t xml:space="preserve">bude </w:t>
      </w:r>
      <w:r>
        <w:t>vyhov</w:t>
      </w:r>
      <w:r w:rsidR="00B7765B">
        <w:t>ovat</w:t>
      </w:r>
      <w:r>
        <w:t xml:space="preserve"> požadavkům vnitřních předpisů. Po dobu výstavby podchodu bude nutné zřídit úrovňový přechod kolejí pod dohledem.</w:t>
      </w:r>
    </w:p>
    <w:p w14:paraId="4E65CCDA" w14:textId="20D68E92" w:rsidR="00463EB9" w:rsidRPr="0073725B" w:rsidRDefault="00463EB9" w:rsidP="004A49A4">
      <w:pPr>
        <w:spacing w:after="0"/>
        <w:rPr>
          <w:rFonts w:asciiTheme="majorHAnsi" w:eastAsiaTheme="majorEastAsia" w:hAnsiTheme="majorHAnsi" w:cstheme="majorBidi"/>
          <w:b/>
        </w:rPr>
      </w:pPr>
      <w:r w:rsidRPr="0073725B">
        <w:rPr>
          <w:rFonts w:asciiTheme="majorHAnsi" w:eastAsiaTheme="majorEastAsia" w:hAnsiTheme="majorHAnsi" w:cstheme="majorBidi"/>
          <w:b/>
        </w:rPr>
        <w:t>P</w:t>
      </w:r>
      <w:r w:rsidR="004A49A4" w:rsidRPr="0073725B">
        <w:rPr>
          <w:rFonts w:asciiTheme="majorHAnsi" w:eastAsiaTheme="majorEastAsia" w:hAnsiTheme="majorHAnsi" w:cstheme="majorBidi"/>
          <w:b/>
        </w:rPr>
        <w:t>ozemní komunikace</w:t>
      </w:r>
    </w:p>
    <w:p w14:paraId="327093FF" w14:textId="068AD1DE" w:rsidR="00463EB9" w:rsidRDefault="000B2371" w:rsidP="00AC3587">
      <w:r>
        <w:t xml:space="preserve">Posunem koleje a výstavbou </w:t>
      </w:r>
      <w:proofErr w:type="spellStart"/>
      <w:r>
        <w:t>kabelovodu</w:t>
      </w:r>
      <w:proofErr w:type="spellEnd"/>
      <w:r>
        <w:t xml:space="preserve"> bude dotčeno stávající služební parkoviště, tvořené nezpevněnou plochou. Parkoviště bude půdorysně přizpůsobeno, bude </w:t>
      </w:r>
      <w:r w:rsidR="00463EB9" w:rsidRPr="00D93806">
        <w:t>vydlážděn</w:t>
      </w:r>
      <w:r w:rsidR="00B91643" w:rsidRPr="00D93806">
        <w:t>é</w:t>
      </w:r>
      <w:r w:rsidR="00463EB9" w:rsidRPr="00D93806">
        <w:t>, organizov</w:t>
      </w:r>
      <w:r w:rsidR="00B91643" w:rsidRPr="00D93806">
        <w:t>a</w:t>
      </w:r>
      <w:r w:rsidR="00463EB9" w:rsidRPr="00D93806">
        <w:t>n</w:t>
      </w:r>
      <w:r w:rsidR="00B91643" w:rsidRPr="00D93806">
        <w:t>é</w:t>
      </w:r>
      <w:r w:rsidR="00463EB9" w:rsidRPr="00D93806">
        <w:t xml:space="preserve"> a </w:t>
      </w:r>
      <w:r>
        <w:t>upravena bude i krátká o</w:t>
      </w:r>
      <w:r w:rsidR="00463EB9" w:rsidRPr="00D93806">
        <w:t xml:space="preserve">bslužná komunikace. </w:t>
      </w:r>
      <w:r w:rsidR="00B91643" w:rsidRPr="00D93806">
        <w:t>P</w:t>
      </w:r>
      <w:r w:rsidR="00463EB9" w:rsidRPr="00D93806">
        <w:t>arkoviš</w:t>
      </w:r>
      <w:r w:rsidR="00B91643" w:rsidRPr="00D93806">
        <w:t>tě</w:t>
      </w:r>
      <w:r w:rsidR="00463EB9" w:rsidRPr="00D93806">
        <w:t xml:space="preserve"> </w:t>
      </w:r>
      <w:r w:rsidR="00B7765B" w:rsidRPr="00D93806">
        <w:t>bude</w:t>
      </w:r>
      <w:r w:rsidR="00463EB9" w:rsidRPr="00D93806">
        <w:t xml:space="preserve"> umístěno na severním konci výpravní budovy. Uvažovaný počet míst je pro 1</w:t>
      </w:r>
      <w:r w:rsidR="003D3780" w:rsidRPr="00D93806">
        <w:t>8</w:t>
      </w:r>
      <w:r w:rsidR="00463EB9" w:rsidRPr="00D93806">
        <w:t xml:space="preserve"> vozidel s jedním místem pro osoby se sníženou schopností pohybu.</w:t>
      </w:r>
      <w:r>
        <w:t xml:space="preserve"> Dále bude upraven chodník v místě demolované části výpravní budovy se zastávkami autobusů.</w:t>
      </w:r>
    </w:p>
    <w:p w14:paraId="7601A8F6" w14:textId="77777777" w:rsidR="00463EB9" w:rsidRPr="0073725B" w:rsidRDefault="00463EB9" w:rsidP="004A49A4">
      <w:pPr>
        <w:spacing w:after="0"/>
        <w:rPr>
          <w:rFonts w:asciiTheme="majorHAnsi" w:eastAsiaTheme="majorEastAsia" w:hAnsiTheme="majorHAnsi" w:cstheme="majorBidi"/>
          <w:b/>
        </w:rPr>
      </w:pPr>
      <w:r w:rsidRPr="0073725B">
        <w:rPr>
          <w:rFonts w:asciiTheme="majorHAnsi" w:eastAsiaTheme="majorEastAsia" w:hAnsiTheme="majorHAnsi" w:cstheme="majorBidi"/>
          <w:b/>
        </w:rPr>
        <w:t>Zabezpečovací zařízení</w:t>
      </w:r>
    </w:p>
    <w:p w14:paraId="1B6003FE" w14:textId="38D05D12" w:rsidR="00463EB9" w:rsidRPr="000A7701" w:rsidRDefault="00463EB9" w:rsidP="004A49A4">
      <w:r w:rsidRPr="008518E9">
        <w:t xml:space="preserve">Stávající staniční reléové zabezpečovací zařízení bude ponecháno, jeho náhrada je součástí stavby „GSM-R + ETCS </w:t>
      </w:r>
      <w:r w:rsidR="00BD06D0">
        <w:t>H</w:t>
      </w:r>
      <w:r w:rsidRPr="008518E9">
        <w:t xml:space="preserve">ranice na Moravě – Horní Lideč – Střelná“. </w:t>
      </w:r>
      <w:r w:rsidR="00B7765B">
        <w:t>Uvažuje se</w:t>
      </w:r>
      <w:r w:rsidRPr="008518E9">
        <w:t xml:space="preserve"> pouze</w:t>
      </w:r>
      <w:r w:rsidR="00B7765B">
        <w:t xml:space="preserve"> </w:t>
      </w:r>
      <w:r w:rsidR="00075590">
        <w:br/>
      </w:r>
      <w:r w:rsidR="00B7765B">
        <w:t>s</w:t>
      </w:r>
      <w:r w:rsidRPr="008518E9">
        <w:t xml:space="preserve"> proveden</w:t>
      </w:r>
      <w:r w:rsidR="00B7765B">
        <w:t>ím</w:t>
      </w:r>
      <w:r w:rsidRPr="008518E9">
        <w:t xml:space="preserve"> nezbytné úpravy</w:t>
      </w:r>
      <w:r>
        <w:t xml:space="preserve"> polohy vybraných návěstidel. V případě opotřebených návěstidel dojde k jej</w:t>
      </w:r>
      <w:r w:rsidR="00B7765B">
        <w:t>i</w:t>
      </w:r>
      <w:r>
        <w:t xml:space="preserve">ch nahrazení za nová. Dále </w:t>
      </w:r>
      <w:r w:rsidR="00BC00AA">
        <w:t>se předpokládá</w:t>
      </w:r>
      <w:r>
        <w:t xml:space="preserve"> náhrad</w:t>
      </w:r>
      <w:r w:rsidR="00BC00AA">
        <w:t>a</w:t>
      </w:r>
      <w:r>
        <w:t xml:space="preserve"> kabelových tras. </w:t>
      </w:r>
      <w:r w:rsidR="00A678B3">
        <w:t xml:space="preserve">Nová kabelizace bude v provedení s ochranou proti vlivům trakce AC 25 </w:t>
      </w:r>
      <w:proofErr w:type="spellStart"/>
      <w:r w:rsidR="00A678B3">
        <w:t>kV</w:t>
      </w:r>
      <w:proofErr w:type="spellEnd"/>
      <w:r w:rsidR="00A678B3">
        <w:t xml:space="preserve">. Dojde k obnovení kódování národního liniového vlakového zabezpečovače v kolejích 1 a 2 včetně jablůnecko-braneckého zhlaví. </w:t>
      </w:r>
      <w:r w:rsidRPr="000A7701">
        <w:t>Místní ovládání SZZ zůstane zachováno.</w:t>
      </w:r>
    </w:p>
    <w:p w14:paraId="18B2FA68" w14:textId="2A2544ED" w:rsidR="000A7701" w:rsidRPr="000A7701" w:rsidRDefault="00463EB9" w:rsidP="00AC3587">
      <w:r w:rsidRPr="0073725B">
        <w:rPr>
          <w:rFonts w:asciiTheme="majorHAnsi" w:eastAsiaTheme="majorEastAsia" w:hAnsiTheme="majorHAnsi" w:cstheme="majorBidi"/>
          <w:b/>
        </w:rPr>
        <w:t>Sdělovací zařízení</w:t>
      </w:r>
      <w:r w:rsidR="00944EFA" w:rsidRPr="0073725B">
        <w:rPr>
          <w:rFonts w:asciiTheme="majorHAnsi" w:eastAsiaTheme="majorEastAsia" w:hAnsiTheme="majorHAnsi" w:cstheme="majorBidi"/>
          <w:b/>
        </w:rPr>
        <w:br/>
      </w:r>
      <w:r w:rsidR="000A7701" w:rsidRPr="000A7701">
        <w:t>Výměna se dotkne rozhlasového zařízení, včetně kabelizace a venkovních reproduktorů. Stávající kamerový systém bude doplněn o kamery sledující nově vzniklé nástupní hrany. Veškerá metalická kabelizace bude v provedení s ochranou proti vlivům trakce AC 25 </w:t>
      </w:r>
      <w:proofErr w:type="spellStart"/>
      <w:r w:rsidR="000A7701" w:rsidRPr="000A7701">
        <w:t>kV</w:t>
      </w:r>
      <w:proofErr w:type="spellEnd"/>
      <w:r w:rsidR="000A7701" w:rsidRPr="000A7701">
        <w:t>. Ve výpravní budově pro umístění sdělovacího zařízení vyčleněna samostatně přístupná místnost.</w:t>
      </w:r>
    </w:p>
    <w:p w14:paraId="3FFE2100" w14:textId="77777777" w:rsidR="00463EB9" w:rsidRPr="00252396" w:rsidRDefault="00463EB9" w:rsidP="0073725B">
      <w:pPr>
        <w:pStyle w:val="Nadpis5"/>
      </w:pPr>
      <w:r w:rsidRPr="00252396">
        <w:t>Pozemní objekty</w:t>
      </w:r>
    </w:p>
    <w:p w14:paraId="1344D92A" w14:textId="43123E29" w:rsidR="00463EB9" w:rsidRDefault="00463EB9" w:rsidP="00AC3587">
      <w:r>
        <w:t>Rozměry výpravní budovy budou redukovány. Uvažuje se s demolicí budovy mezi částmi A a B a demolice části C. Nově bude zřízen bezbariérový přístup z podchodu do výpravní budovy. Část objektu s označením A zůstane zachována. Část B bude část</w:t>
      </w:r>
      <w:r w:rsidR="00BC00AA">
        <w:t>ečně</w:t>
      </w:r>
      <w:r>
        <w:t xml:space="preserve"> ubourána a vznikne tím široký přístup se zastřešením na první nástupiště. Samostatná část B bude sloužit jako čekací prostory pro cestující, budou zde umístěny pokladny, úschovna zavazadel, toalety </w:t>
      </w:r>
      <w:r w:rsidR="00DA0A59">
        <w:br/>
      </w:r>
      <w:r>
        <w:t>a komerční prostory. Z důvodu výměny zdroje vytápění a havarijního stavu rozvodů bude v části B také umístěna technická místnost</w:t>
      </w:r>
      <w:r w:rsidR="002D0DFF">
        <w:t>. Dále se zde uvažuje prostor pro sklad využívaný</w:t>
      </w:r>
      <w:r w:rsidR="00BD0CD1">
        <w:t xml:space="preserve"> </w:t>
      </w:r>
      <w:r w:rsidR="002D0DFF">
        <w:t>OŘ Ostrava.</w:t>
      </w:r>
      <w:r>
        <w:t xml:space="preserve"> Prostor po zdemolované části C poslouží jako parkoviště pro vozy Správy železnic, státní organizace. Část budovy s označením D bude i nadále sloužit jako technologická část budovy. Bytové části výpravní budovy zůstanou bez zásahu.</w:t>
      </w:r>
    </w:p>
    <w:p w14:paraId="216DC94C" w14:textId="77777777" w:rsidR="00463EB9" w:rsidRPr="00252396" w:rsidRDefault="00463EB9" w:rsidP="0073725B">
      <w:pPr>
        <w:pStyle w:val="Nadpis5"/>
      </w:pPr>
      <w:r w:rsidRPr="00252396">
        <w:t>Nástupiště</w:t>
      </w:r>
    </w:p>
    <w:p w14:paraId="0BD01C17" w14:textId="62C510B8" w:rsidR="00463EB9" w:rsidRDefault="00463EB9" w:rsidP="00AC3587">
      <w:r>
        <w:t xml:space="preserve">U nástupišť dojde k navýšení tak, aby byla splněna výška 550 mm nad spojnicí temen kolejnic. Budou doplněny hmatové pásy pro zrakově postižené cestující. Dále </w:t>
      </w:r>
      <w:r w:rsidR="00075590">
        <w:t>se uvažuje s</w:t>
      </w:r>
      <w:r>
        <w:t xml:space="preserve"> upraven</w:t>
      </w:r>
      <w:r w:rsidR="00075590">
        <w:t>ím</w:t>
      </w:r>
      <w:r>
        <w:t xml:space="preserve"> šířk</w:t>
      </w:r>
      <w:r w:rsidR="00075590">
        <w:t>y</w:t>
      </w:r>
      <w:r>
        <w:t xml:space="preserve"> ostrovních nástupišť ze stávajících 6,1 m na 7,2 m. Nástupiště u výpravní budovy bude naopak zúženo. Dojde také k úpravě délek nástupišť, kdy nástupiště 1 bude mít délku 170 m, </w:t>
      </w:r>
      <w:r w:rsidRPr="008E5BFC">
        <w:lastRenderedPageBreak/>
        <w:t>nástupiště 2</w:t>
      </w:r>
      <w:r w:rsidR="003D3780" w:rsidRPr="008E5BFC">
        <w:t>+</w:t>
      </w:r>
      <w:r w:rsidRPr="008E5BFC">
        <w:t xml:space="preserve">3 u kolejí 6 a 4 bude o délce 339 m a nástupiště </w:t>
      </w:r>
      <w:r w:rsidR="003D3780" w:rsidRPr="008E5BFC">
        <w:t>4+5</w:t>
      </w:r>
      <w:r>
        <w:t xml:space="preserve"> u hlavních kolejí 1 a 2 bude mít délku 350 m.</w:t>
      </w:r>
    </w:p>
    <w:p w14:paraId="2360D826" w14:textId="12AB999A" w:rsidR="00463EB9" w:rsidRPr="00C00A7E" w:rsidRDefault="00463EB9" w:rsidP="0073725B">
      <w:pPr>
        <w:pStyle w:val="Nadpis5"/>
      </w:pPr>
      <w:r w:rsidRPr="00C00A7E">
        <w:t>Přístřešky</w:t>
      </w:r>
    </w:p>
    <w:p w14:paraId="4C7A4095" w14:textId="432C74F8" w:rsidR="00C00A7E" w:rsidRPr="00C00A7E" w:rsidRDefault="00C00A7E" w:rsidP="00AC3587">
      <w:r w:rsidRPr="00C00A7E">
        <w:t xml:space="preserve">Zastřešení jednosloupovou </w:t>
      </w:r>
      <w:r>
        <w:t>„</w:t>
      </w:r>
      <w:r w:rsidRPr="00C00A7E">
        <w:t>vlaštovkou</w:t>
      </w:r>
      <w:r>
        <w:t>“</w:t>
      </w:r>
      <w:r w:rsidRPr="00C00A7E">
        <w:t xml:space="preserve"> s částečným podhledem, upravenou pro šířku ostrovních nástupišť 7,2 m, bude použito pro </w:t>
      </w:r>
      <w:r w:rsidRPr="008E5BFC">
        <w:t>nástupiště 2</w:t>
      </w:r>
      <w:r w:rsidR="003D3780" w:rsidRPr="008E5BFC">
        <w:t>+</w:t>
      </w:r>
      <w:r w:rsidRPr="008E5BFC">
        <w:t>3 a 4</w:t>
      </w:r>
      <w:r w:rsidR="003D3780" w:rsidRPr="008E5BFC">
        <w:t>+</w:t>
      </w:r>
      <w:r w:rsidRPr="008E5BFC">
        <w:t>5.</w:t>
      </w:r>
      <w:r w:rsidRPr="00C00A7E">
        <w:t xml:space="preserve"> Na zastřešení budou umístěny prvky informačního a orientačního systému. Na nástupišti 1 se uvažuje s nahrazením současné </w:t>
      </w:r>
      <w:r>
        <w:t>„</w:t>
      </w:r>
      <w:r w:rsidRPr="00C00A7E">
        <w:t>vlaštovky</w:t>
      </w:r>
      <w:r>
        <w:t>“</w:t>
      </w:r>
      <w:r w:rsidRPr="00C00A7E">
        <w:t xml:space="preserve"> novým závěsným zastřešením, které bude zavěšeno na výpravní budově.</w:t>
      </w:r>
    </w:p>
    <w:p w14:paraId="5F54C7D0" w14:textId="6C9455E8" w:rsidR="002A63A6" w:rsidRDefault="002A63A6" w:rsidP="00B47C9D">
      <w:pPr>
        <w:pStyle w:val="Nadpis1"/>
        <w:rPr>
          <w:noProof/>
        </w:rPr>
      </w:pPr>
      <w:bookmarkStart w:id="34" w:name="_Toc148597872"/>
      <w:r>
        <w:rPr>
          <w:noProof/>
        </w:rPr>
        <w:t>Ekonomické hodnocení</w:t>
      </w:r>
      <w:bookmarkEnd w:id="34"/>
    </w:p>
    <w:p w14:paraId="52824FCD" w14:textId="465D6950" w:rsidR="002A63A6" w:rsidRPr="002A63A6" w:rsidRDefault="00CE23C3" w:rsidP="002A63A6">
      <w:r w:rsidRPr="00AE47DC">
        <w:t xml:space="preserve">Pro účel posouzení ekonomické </w:t>
      </w:r>
      <w:r w:rsidR="00AE47DC" w:rsidRPr="00AE47DC">
        <w:t>výhodnosti investiční akce byla</w:t>
      </w:r>
      <w:r w:rsidR="00D7400D">
        <w:t xml:space="preserve"> ve shodě s Přílohou č. 3</w:t>
      </w:r>
      <w:r w:rsidR="00490C11">
        <w:t xml:space="preserve"> </w:t>
      </w:r>
      <w:r w:rsidR="00D7400D">
        <w:t>Rezortní metodiky</w:t>
      </w:r>
      <w:r w:rsidR="00AE47DC" w:rsidRPr="00AE47DC">
        <w:t xml:space="preserve"> zvolena metoda MKA</w:t>
      </w:r>
      <w:r w:rsidR="00EA723B" w:rsidRPr="00EA723B">
        <w:t xml:space="preserve">, které </w:t>
      </w:r>
      <w:r w:rsidR="00EA723B" w:rsidRPr="007A3EEA">
        <w:t xml:space="preserve">předcházela finanční analýza metodou CBA podle </w:t>
      </w:r>
      <w:r w:rsidR="002A63A6" w:rsidRPr="007A3EEA">
        <w:t xml:space="preserve">podmínek stanovených Rezortní metodikou. Benefity, </w:t>
      </w:r>
      <w:r w:rsidR="00A312EE" w:rsidRPr="007A3EEA">
        <w:t>které plynou z</w:t>
      </w:r>
      <w:r w:rsidR="007A3EEA" w:rsidRPr="007A3EEA">
        <w:t> </w:t>
      </w:r>
      <w:r w:rsidR="00EA723B" w:rsidRPr="007A3EEA">
        <w:t>rekonstrukc</w:t>
      </w:r>
      <w:r w:rsidR="007A3EEA" w:rsidRPr="007A3EEA">
        <w:t>e staveb a zařízení pro pohyb a čekání cestujících</w:t>
      </w:r>
      <w:r w:rsidR="00541EFB" w:rsidRPr="007A3EEA">
        <w:t>, jsou zejména zvýšení bezpečnosti</w:t>
      </w:r>
      <w:r w:rsidR="007A3EEA" w:rsidRPr="007A3EEA">
        <w:t>, zlepšení přístupu pro osoby se sníženou schopností pohybu, úspornější technologie osvětlení</w:t>
      </w:r>
      <w:r w:rsidR="008B6FF6">
        <w:t xml:space="preserve">, </w:t>
      </w:r>
      <w:r w:rsidR="007A3EEA" w:rsidRPr="007A3EEA">
        <w:t>celkové zlepšení kultury cestování</w:t>
      </w:r>
      <w:r w:rsidR="008B6FF6">
        <w:t xml:space="preserve"> a řešení problematiky parkování</w:t>
      </w:r>
      <w:r w:rsidR="007A3EEA" w:rsidRPr="007A3EEA">
        <w:t>.</w:t>
      </w:r>
    </w:p>
    <w:p w14:paraId="6C3C521F" w14:textId="08A5D93B" w:rsidR="007462FE" w:rsidRDefault="007462FE" w:rsidP="002A63A6">
      <w:pPr>
        <w:pStyle w:val="Nadpis2"/>
        <w:rPr>
          <w:noProof/>
        </w:rPr>
      </w:pPr>
      <w:bookmarkStart w:id="35" w:name="_Toc148597873"/>
      <w:r>
        <w:rPr>
          <w:noProof/>
        </w:rPr>
        <w:t>Finanční analýza</w:t>
      </w:r>
      <w:bookmarkEnd w:id="35"/>
    </w:p>
    <w:p w14:paraId="64B67E3D" w14:textId="7917CC3F" w:rsidR="00104C33" w:rsidRPr="008A365E" w:rsidRDefault="00104C33" w:rsidP="00104C33">
      <w:r>
        <w:t xml:space="preserve">Finanční analýza má za cíl určit, analyzovat a interpretovat všechny finanční důsledky pro vlastníka projektu, resp. provozovatele infrastruktury (jinak také investora). Její výpočet je založen na diferenčním přístupu, tedy rozdílu příjmových a výdajových toků v jednotlivých letech mezi variantou s projektem a variantou bez projektu. </w:t>
      </w:r>
      <w:r w:rsidRPr="00B91E0E">
        <w:t xml:space="preserve">Pro výpočet finanční analýzy je použita diskontní sazba </w:t>
      </w:r>
      <w:r w:rsidRPr="008A365E">
        <w:t xml:space="preserve">ve výši </w:t>
      </w:r>
      <w:r w:rsidR="00201545" w:rsidRPr="008A365E">
        <w:t>2</w:t>
      </w:r>
      <w:r w:rsidRPr="008A365E">
        <w:t xml:space="preserve"> %.</w:t>
      </w:r>
    </w:p>
    <w:p w14:paraId="4815CC3E" w14:textId="086E06CF" w:rsidR="00104C33" w:rsidRPr="008A365E" w:rsidRDefault="00104C33" w:rsidP="00104C33">
      <w:pPr>
        <w:keepNext/>
      </w:pPr>
      <w:r w:rsidRPr="008A365E">
        <w:t xml:space="preserve">Vstupy zahrnuté do finanční analýzy jsou blíže představeny v jednotlivých kapitolách níže. </w:t>
      </w:r>
      <w:r w:rsidR="0076738F" w:rsidRPr="008A365E">
        <w:br/>
      </w:r>
      <w:r w:rsidRPr="008A365E">
        <w:t>U této stavby se jedná o:</w:t>
      </w:r>
    </w:p>
    <w:p w14:paraId="07493773" w14:textId="77777777" w:rsidR="00104C33" w:rsidRPr="008A365E" w:rsidRDefault="00104C33" w:rsidP="00104C33">
      <w:pPr>
        <w:pStyle w:val="Seznamsodrkami"/>
        <w:keepNext/>
        <w:keepLines/>
      </w:pPr>
      <w:r w:rsidRPr="008A365E">
        <w:t>Investiční náklady</w:t>
      </w:r>
    </w:p>
    <w:p w14:paraId="1EE0F0D9" w14:textId="045E7238" w:rsidR="00104C33" w:rsidRPr="008A365E" w:rsidRDefault="008B6FF6" w:rsidP="00104C33">
      <w:pPr>
        <w:pStyle w:val="Seznamsodrkami"/>
        <w:keepNext/>
        <w:keepLines/>
      </w:pPr>
      <w:r w:rsidRPr="008A365E">
        <w:t>P</w:t>
      </w:r>
      <w:r w:rsidR="00104C33" w:rsidRPr="008A365E">
        <w:t>rovozní náklady železniční infrastruktury</w:t>
      </w:r>
    </w:p>
    <w:p w14:paraId="368485E8" w14:textId="0743C13E" w:rsidR="00104C33" w:rsidRPr="008A365E" w:rsidRDefault="008B6FF6" w:rsidP="00104C33">
      <w:pPr>
        <w:pStyle w:val="Seznamsodrkami2"/>
        <w:keepNext/>
        <w:keepLines/>
      </w:pPr>
      <w:r w:rsidRPr="008A365E">
        <w:t xml:space="preserve">Náklady </w:t>
      </w:r>
      <w:r w:rsidR="00104C33" w:rsidRPr="008A365E">
        <w:t>na údržbu a opravy</w:t>
      </w:r>
    </w:p>
    <w:p w14:paraId="1511DD4A" w14:textId="6552C894" w:rsidR="00104C33" w:rsidRPr="008A365E" w:rsidRDefault="00104C33" w:rsidP="00104C33">
      <w:pPr>
        <w:pStyle w:val="Seznamsodrkami2"/>
      </w:pPr>
      <w:r w:rsidRPr="008A365E">
        <w:t>Náklady na obnovu zařízení (</w:t>
      </w:r>
      <w:r w:rsidR="003D6781" w:rsidRPr="008A365E">
        <w:t>komplexní obnovy</w:t>
      </w:r>
      <w:r w:rsidRPr="008A365E">
        <w:t>)</w:t>
      </w:r>
    </w:p>
    <w:p w14:paraId="696328B6" w14:textId="09663BC1" w:rsidR="00104C33" w:rsidRPr="008A365E" w:rsidRDefault="00104C33" w:rsidP="00104C33">
      <w:pPr>
        <w:pStyle w:val="Seznamsodrkami"/>
      </w:pPr>
      <w:r w:rsidRPr="008A365E">
        <w:t>Provozní příjmy z pronájmu</w:t>
      </w:r>
    </w:p>
    <w:p w14:paraId="1C1DBD3D" w14:textId="77777777" w:rsidR="00104C33" w:rsidRPr="008A365E" w:rsidRDefault="00104C33" w:rsidP="00104C33">
      <w:pPr>
        <w:pStyle w:val="Seznamsodrkami"/>
        <w:keepLines/>
        <w:spacing w:after="240"/>
      </w:pPr>
      <w:r w:rsidRPr="008A365E">
        <w:t>Zůstatková hodnota</w:t>
      </w:r>
    </w:p>
    <w:p w14:paraId="3BF18EF3" w14:textId="77777777" w:rsidR="00104C33" w:rsidRPr="008A365E" w:rsidRDefault="00104C33" w:rsidP="00104C33">
      <w:pPr>
        <w:keepNext/>
        <w:keepLines/>
      </w:pPr>
      <w:r w:rsidRPr="008A365E">
        <w:t>Výstupem finanční analýzy jsou tyto ukazatele:</w:t>
      </w:r>
    </w:p>
    <w:p w14:paraId="3D05C630" w14:textId="77777777" w:rsidR="00104C33" w:rsidRPr="008A365E" w:rsidRDefault="00104C33" w:rsidP="00104C33">
      <w:pPr>
        <w:pStyle w:val="Seznamsodrkami"/>
        <w:keepNext/>
        <w:keepLines/>
      </w:pPr>
      <w:r w:rsidRPr="008A365E">
        <w:t>Finanční vnitřní výnosové procento (FRR)</w:t>
      </w:r>
    </w:p>
    <w:p w14:paraId="5D8B6AB3" w14:textId="32CF2BD3" w:rsidR="00104C33" w:rsidRPr="008A365E" w:rsidRDefault="00104C33" w:rsidP="00104C33">
      <w:pPr>
        <w:pStyle w:val="Seznamsodrkami"/>
        <w:keepNext/>
        <w:keepLines/>
        <w:spacing w:after="240"/>
      </w:pPr>
      <w:r w:rsidRPr="008A365E">
        <w:t>Finanční čistá současná hodnota (FNPV)</w:t>
      </w:r>
      <w:r w:rsidR="0076738F" w:rsidRPr="008A365E">
        <w:t>.</w:t>
      </w:r>
    </w:p>
    <w:p w14:paraId="400BC411" w14:textId="2AC73F6B" w:rsidR="0042194D" w:rsidRPr="008A365E" w:rsidRDefault="0042194D" w:rsidP="002A63A6">
      <w:pPr>
        <w:pStyle w:val="Nadpis3"/>
      </w:pPr>
      <w:bookmarkStart w:id="36" w:name="_Ref63767347"/>
      <w:bookmarkStart w:id="37" w:name="_Toc148597874"/>
      <w:r w:rsidRPr="008A365E">
        <w:t>Investiční náklady</w:t>
      </w:r>
      <w:bookmarkEnd w:id="36"/>
      <w:bookmarkEnd w:id="37"/>
    </w:p>
    <w:p w14:paraId="7151CF8A" w14:textId="565C2D23" w:rsidR="00B60113" w:rsidRPr="0042194D" w:rsidRDefault="00B60113" w:rsidP="0042194D">
      <w:r w:rsidRPr="008A365E">
        <w:t>Investiční náklady, které vstupují do EH, byly vyčísleny pomocí Sborníku pro oceňování železničních staveb ve stupni studie, verze 202</w:t>
      </w:r>
      <w:r w:rsidR="005A750A" w:rsidRPr="008A365E">
        <w:t>3</w:t>
      </w:r>
      <w:r w:rsidRPr="008A365E">
        <w:t xml:space="preserve">. Celkové investiční náklady bez rezervy ve stále cenové úrovni </w:t>
      </w:r>
      <w:r w:rsidRPr="00D93806">
        <w:t>202</w:t>
      </w:r>
      <w:r w:rsidR="001D40FC" w:rsidRPr="00D93806">
        <w:t>3</w:t>
      </w:r>
      <w:r w:rsidRPr="00D93806">
        <w:t xml:space="preserve"> činí</w:t>
      </w:r>
      <w:r w:rsidR="00D043C9" w:rsidRPr="00D93806">
        <w:t xml:space="preserve"> </w:t>
      </w:r>
      <w:r w:rsidR="00B91643" w:rsidRPr="00D93806">
        <w:t>731 787 216</w:t>
      </w:r>
      <w:r w:rsidR="00B91643">
        <w:t xml:space="preserve"> </w:t>
      </w:r>
      <w:r w:rsidRPr="00854A05">
        <w:t>Kč.</w:t>
      </w:r>
    </w:p>
    <w:p w14:paraId="6B225AFF" w14:textId="2971E779" w:rsidR="0042194D" w:rsidRDefault="0042194D" w:rsidP="0042194D">
      <w:pPr>
        <w:pStyle w:val="Titulek"/>
        <w:keepNext/>
        <w:keepLines/>
      </w:pPr>
      <w:bookmarkStart w:id="38" w:name="_Toc148597850"/>
      <w:r w:rsidRPr="0042194D">
        <w:lastRenderedPageBreak/>
        <w:t xml:space="preserve">Tabulka </w:t>
      </w:r>
      <w:fldSimple w:instr=" SEQ Tabulka \* ARABIC ">
        <w:r w:rsidR="00C16554">
          <w:rPr>
            <w:noProof/>
          </w:rPr>
          <w:t>5</w:t>
        </w:r>
      </w:fldSimple>
      <w:r w:rsidRPr="0042194D">
        <w:t>: Celkové investiční náklady</w:t>
      </w:r>
      <w:r w:rsidR="00B47C9D">
        <w:t xml:space="preserve"> </w:t>
      </w:r>
      <w:r w:rsidR="007505AA">
        <w:t>staveb</w:t>
      </w:r>
      <w:r w:rsidRPr="0042194D">
        <w:t xml:space="preserve"> v Kč, CÚ 202</w:t>
      </w:r>
      <w:r w:rsidR="001D40FC">
        <w:t>3</w:t>
      </w:r>
      <w:bookmarkEnd w:id="38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79"/>
        <w:gridCol w:w="1424"/>
        <w:gridCol w:w="1424"/>
        <w:gridCol w:w="1424"/>
        <w:gridCol w:w="1423"/>
      </w:tblGrid>
      <w:tr w:rsidR="00D043C9" w:rsidRPr="00B91643" w14:paraId="382A1178" w14:textId="77777777" w:rsidTr="005758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</w:tcPr>
          <w:p w14:paraId="2009E146" w14:textId="77777777" w:rsidR="00D043C9" w:rsidRPr="00D043C9" w:rsidRDefault="00D043C9" w:rsidP="0042194D">
            <w:pPr>
              <w:keepNext/>
              <w:keepLines/>
              <w:rPr>
                <w:b/>
              </w:rPr>
            </w:pPr>
          </w:p>
        </w:tc>
        <w:tc>
          <w:tcPr>
            <w:tcW w:w="821" w:type="pct"/>
          </w:tcPr>
          <w:p w14:paraId="418A50AC" w14:textId="39C13960" w:rsidR="00D043C9" w:rsidRPr="00D93806" w:rsidRDefault="00D043C9" w:rsidP="0042194D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2026</w:t>
            </w:r>
          </w:p>
        </w:tc>
        <w:tc>
          <w:tcPr>
            <w:tcW w:w="821" w:type="pct"/>
          </w:tcPr>
          <w:p w14:paraId="63672C6C" w14:textId="264CF4B7" w:rsidR="00D043C9" w:rsidRPr="00D93806" w:rsidRDefault="00D043C9" w:rsidP="0042194D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2027</w:t>
            </w:r>
          </w:p>
        </w:tc>
        <w:tc>
          <w:tcPr>
            <w:tcW w:w="821" w:type="pct"/>
          </w:tcPr>
          <w:p w14:paraId="022B123A" w14:textId="06393A1D" w:rsidR="00D043C9" w:rsidRPr="00D93806" w:rsidRDefault="00D043C9" w:rsidP="0042194D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2028</w:t>
            </w:r>
          </w:p>
        </w:tc>
        <w:tc>
          <w:tcPr>
            <w:tcW w:w="820" w:type="pct"/>
          </w:tcPr>
          <w:p w14:paraId="3613FEFD" w14:textId="0E5673B2" w:rsidR="00D043C9" w:rsidRPr="00D93806" w:rsidRDefault="00D043C9" w:rsidP="0042194D">
            <w:pPr>
              <w:keepNext/>
              <w:keepLine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Náklady celkem</w:t>
            </w:r>
          </w:p>
        </w:tc>
      </w:tr>
      <w:tr w:rsidR="004B6292" w:rsidRPr="00B91643" w14:paraId="2391B13D" w14:textId="77777777" w:rsidTr="0020154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</w:tcPr>
          <w:p w14:paraId="40ECEF1A" w14:textId="77777777" w:rsidR="004B6292" w:rsidRPr="004B6292" w:rsidRDefault="004B6292" w:rsidP="004B6292">
            <w:pPr>
              <w:keepNext/>
              <w:keepLines/>
            </w:pPr>
            <w:r w:rsidRPr="004B6292">
              <w:t>Projektová dokumentace</w:t>
            </w:r>
          </w:p>
        </w:tc>
        <w:tc>
          <w:tcPr>
            <w:tcW w:w="821" w:type="pct"/>
          </w:tcPr>
          <w:p w14:paraId="760E9762" w14:textId="568FD24D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63 557 046</w:t>
            </w:r>
          </w:p>
        </w:tc>
        <w:tc>
          <w:tcPr>
            <w:tcW w:w="821" w:type="pct"/>
          </w:tcPr>
          <w:p w14:paraId="516F248E" w14:textId="65175194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1" w:type="pct"/>
          </w:tcPr>
          <w:p w14:paraId="0F5E2591" w14:textId="2FB567F7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0" w:type="pct"/>
          </w:tcPr>
          <w:p w14:paraId="5C9D8F5C" w14:textId="6A1BF636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63 557 046</w:t>
            </w:r>
          </w:p>
        </w:tc>
      </w:tr>
      <w:tr w:rsidR="004B6292" w:rsidRPr="00B91643" w14:paraId="65F34BE7" w14:textId="77777777" w:rsidTr="0020154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</w:tcPr>
          <w:p w14:paraId="27492B75" w14:textId="77777777" w:rsidR="004B6292" w:rsidRPr="004B6292" w:rsidRDefault="004B6292" w:rsidP="004B6292">
            <w:pPr>
              <w:keepNext/>
              <w:keepLines/>
            </w:pPr>
            <w:r w:rsidRPr="004B6292">
              <w:t>Zábory a nákupy pozemků</w:t>
            </w:r>
          </w:p>
        </w:tc>
        <w:tc>
          <w:tcPr>
            <w:tcW w:w="821" w:type="pct"/>
          </w:tcPr>
          <w:p w14:paraId="2DE4EC73" w14:textId="1AAA0734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175 000</w:t>
            </w:r>
          </w:p>
        </w:tc>
        <w:tc>
          <w:tcPr>
            <w:tcW w:w="821" w:type="pct"/>
          </w:tcPr>
          <w:p w14:paraId="607CF110" w14:textId="2B94F0B4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1" w:type="pct"/>
          </w:tcPr>
          <w:p w14:paraId="4329EA0D" w14:textId="1A76745B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0" w:type="pct"/>
          </w:tcPr>
          <w:p w14:paraId="3D14E71E" w14:textId="0D14C18A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175 000</w:t>
            </w:r>
          </w:p>
        </w:tc>
      </w:tr>
      <w:tr w:rsidR="004B6292" w:rsidRPr="00B91643" w14:paraId="791E5C64" w14:textId="77777777" w:rsidTr="0020154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</w:tcPr>
          <w:p w14:paraId="41B3CD3C" w14:textId="77777777" w:rsidR="004B6292" w:rsidRPr="004B6292" w:rsidRDefault="004B6292" w:rsidP="004B6292">
            <w:pPr>
              <w:keepNext/>
              <w:keepLines/>
            </w:pPr>
            <w:r w:rsidRPr="004B6292">
              <w:t>Stavby a konstrukce (stavební náklady)</w:t>
            </w:r>
          </w:p>
        </w:tc>
        <w:tc>
          <w:tcPr>
            <w:tcW w:w="821" w:type="pct"/>
          </w:tcPr>
          <w:p w14:paraId="092CA2F7" w14:textId="2554D1D6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242 254 822</w:t>
            </w:r>
          </w:p>
        </w:tc>
        <w:tc>
          <w:tcPr>
            <w:tcW w:w="821" w:type="pct"/>
          </w:tcPr>
          <w:p w14:paraId="03BF20F2" w14:textId="009DB06E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242 254 822</w:t>
            </w:r>
          </w:p>
        </w:tc>
        <w:tc>
          <w:tcPr>
            <w:tcW w:w="821" w:type="pct"/>
          </w:tcPr>
          <w:p w14:paraId="65FC55E7" w14:textId="7D51C14F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120 795 555</w:t>
            </w:r>
          </w:p>
        </w:tc>
        <w:tc>
          <w:tcPr>
            <w:tcW w:w="820" w:type="pct"/>
          </w:tcPr>
          <w:p w14:paraId="29D55B5A" w14:textId="034A6323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605 305 199</w:t>
            </w:r>
          </w:p>
        </w:tc>
      </w:tr>
      <w:tr w:rsidR="004B6292" w:rsidRPr="00B91643" w14:paraId="7CA50689" w14:textId="77777777" w:rsidTr="0020154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</w:tcPr>
          <w:p w14:paraId="1CCB5A39" w14:textId="77777777" w:rsidR="004B6292" w:rsidRPr="004B6292" w:rsidRDefault="004B6292" w:rsidP="004B6292">
            <w:pPr>
              <w:keepNext/>
              <w:keepLines/>
            </w:pPr>
            <w:r w:rsidRPr="004B6292">
              <w:t>Stroje a zařízení</w:t>
            </w:r>
          </w:p>
        </w:tc>
        <w:tc>
          <w:tcPr>
            <w:tcW w:w="821" w:type="pct"/>
          </w:tcPr>
          <w:p w14:paraId="62F64FCB" w14:textId="63840CA1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1" w:type="pct"/>
          </w:tcPr>
          <w:p w14:paraId="2B87B147" w14:textId="0C4C96BA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1" w:type="pct"/>
          </w:tcPr>
          <w:p w14:paraId="55587DF1" w14:textId="1EBC85A9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0" w:type="pct"/>
          </w:tcPr>
          <w:p w14:paraId="4050F3C8" w14:textId="7A2BB5A4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</w:tr>
      <w:tr w:rsidR="004B6292" w:rsidRPr="00B91643" w14:paraId="76968FA6" w14:textId="77777777" w:rsidTr="0020154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</w:tcPr>
          <w:p w14:paraId="61F8AF87" w14:textId="77777777" w:rsidR="004B6292" w:rsidRPr="004B6292" w:rsidRDefault="004B6292" w:rsidP="004B6292">
            <w:pPr>
              <w:keepNext/>
              <w:keepLines/>
            </w:pPr>
            <w:r w:rsidRPr="004B6292">
              <w:t>Technická asistence, propagace</w:t>
            </w:r>
          </w:p>
        </w:tc>
        <w:tc>
          <w:tcPr>
            <w:tcW w:w="821" w:type="pct"/>
          </w:tcPr>
          <w:p w14:paraId="67E0C9D6" w14:textId="27C75B4E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58 512 835</w:t>
            </w:r>
          </w:p>
        </w:tc>
        <w:tc>
          <w:tcPr>
            <w:tcW w:w="821" w:type="pct"/>
          </w:tcPr>
          <w:p w14:paraId="58A94393" w14:textId="66296547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1" w:type="pct"/>
          </w:tcPr>
          <w:p w14:paraId="5C2738EB" w14:textId="1177C114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0" w:type="pct"/>
          </w:tcPr>
          <w:p w14:paraId="1C72AE54" w14:textId="475EB0C9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58 512 835</w:t>
            </w:r>
          </w:p>
        </w:tc>
      </w:tr>
      <w:tr w:rsidR="004B6292" w:rsidRPr="00B91643" w14:paraId="52C685CF" w14:textId="77777777" w:rsidTr="0020154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</w:tcPr>
          <w:p w14:paraId="0911C9EB" w14:textId="77777777" w:rsidR="004B6292" w:rsidRPr="004B6292" w:rsidRDefault="004B6292" w:rsidP="004B6292">
            <w:pPr>
              <w:keepNext/>
              <w:keepLines/>
            </w:pPr>
            <w:r w:rsidRPr="004B6292">
              <w:t>Technický dozor</w:t>
            </w:r>
          </w:p>
        </w:tc>
        <w:tc>
          <w:tcPr>
            <w:tcW w:w="821" w:type="pct"/>
          </w:tcPr>
          <w:p w14:paraId="235591FB" w14:textId="62BE49DA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4 237 136</w:t>
            </w:r>
          </w:p>
        </w:tc>
        <w:tc>
          <w:tcPr>
            <w:tcW w:w="821" w:type="pct"/>
          </w:tcPr>
          <w:p w14:paraId="376FD292" w14:textId="37204740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1" w:type="pct"/>
          </w:tcPr>
          <w:p w14:paraId="37F44E9B" w14:textId="5E413EB2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  <w:tc>
          <w:tcPr>
            <w:tcW w:w="820" w:type="pct"/>
          </w:tcPr>
          <w:p w14:paraId="0A7C0488" w14:textId="1C100F87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4 237 136</w:t>
            </w:r>
          </w:p>
        </w:tc>
      </w:tr>
      <w:tr w:rsidR="004B6292" w:rsidRPr="00B91643" w14:paraId="720B9FB3" w14:textId="77777777" w:rsidTr="004B629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  <w:shd w:val="clear" w:color="auto" w:fill="D9D9D9" w:themeFill="background1" w:themeFillShade="D9"/>
          </w:tcPr>
          <w:p w14:paraId="25083D14" w14:textId="77777777" w:rsidR="004B6292" w:rsidRPr="004B6292" w:rsidRDefault="004B6292" w:rsidP="004B6292">
            <w:pPr>
              <w:keepNext/>
              <w:keepLines/>
              <w:rPr>
                <w:b/>
              </w:rPr>
            </w:pPr>
            <w:r w:rsidRPr="004B6292">
              <w:rPr>
                <w:b/>
              </w:rPr>
              <w:t>Celkové investiční náklady bez rezervy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0EDF1EAE" w14:textId="47C95B38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368 736 839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6199F945" w14:textId="052F7FC4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242 254 822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4EA73B55" w14:textId="1A96B7FE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120 795 555</w:t>
            </w:r>
          </w:p>
        </w:tc>
        <w:tc>
          <w:tcPr>
            <w:tcW w:w="820" w:type="pct"/>
            <w:shd w:val="clear" w:color="auto" w:fill="D9D9D9" w:themeFill="background1" w:themeFillShade="D9"/>
          </w:tcPr>
          <w:p w14:paraId="481BEACD" w14:textId="6FA6AB24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731 787 216</w:t>
            </w:r>
          </w:p>
        </w:tc>
      </w:tr>
      <w:tr w:rsidR="004B6292" w:rsidRPr="00B91643" w14:paraId="0F8AFFBA" w14:textId="77777777" w:rsidTr="0020154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</w:tcPr>
          <w:p w14:paraId="42FA7F14" w14:textId="77777777" w:rsidR="004B6292" w:rsidRPr="004B6292" w:rsidRDefault="004B6292" w:rsidP="004B6292">
            <w:pPr>
              <w:keepNext/>
              <w:keepLines/>
            </w:pPr>
            <w:r w:rsidRPr="004B6292">
              <w:t>Rezerva</w:t>
            </w:r>
          </w:p>
        </w:tc>
        <w:tc>
          <w:tcPr>
            <w:tcW w:w="821" w:type="pct"/>
          </w:tcPr>
          <w:p w14:paraId="03238009" w14:textId="34255B9D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24 225 482</w:t>
            </w:r>
          </w:p>
        </w:tc>
        <w:tc>
          <w:tcPr>
            <w:tcW w:w="821" w:type="pct"/>
          </w:tcPr>
          <w:p w14:paraId="7CA0227B" w14:textId="4531D830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24 225 482</w:t>
            </w:r>
          </w:p>
        </w:tc>
        <w:tc>
          <w:tcPr>
            <w:tcW w:w="821" w:type="pct"/>
          </w:tcPr>
          <w:p w14:paraId="7D660C12" w14:textId="359BB572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12 079 556</w:t>
            </w:r>
          </w:p>
        </w:tc>
        <w:tc>
          <w:tcPr>
            <w:tcW w:w="820" w:type="pct"/>
          </w:tcPr>
          <w:p w14:paraId="1EE9EF38" w14:textId="72114740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60 530 520</w:t>
            </w:r>
          </w:p>
        </w:tc>
      </w:tr>
      <w:tr w:rsidR="004B6292" w:rsidRPr="008A365E" w14:paraId="26994A47" w14:textId="77777777" w:rsidTr="004B629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7" w:type="pct"/>
            <w:shd w:val="clear" w:color="auto" w:fill="D9D9D9" w:themeFill="background1" w:themeFillShade="D9"/>
          </w:tcPr>
          <w:p w14:paraId="628147E1" w14:textId="77777777" w:rsidR="004B6292" w:rsidRPr="004B6292" w:rsidRDefault="004B6292" w:rsidP="004B6292">
            <w:pPr>
              <w:keepNext/>
              <w:keepLines/>
              <w:rPr>
                <w:b/>
              </w:rPr>
            </w:pPr>
            <w:r w:rsidRPr="004B6292">
              <w:rPr>
                <w:b/>
              </w:rPr>
              <w:t>Celkové investiční náklady včetně rezervy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2FBF0055" w14:textId="7C8F0813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392 962 321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0F021264" w14:textId="28ED2729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266 480 304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051C028A" w14:textId="0E558170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132 875 111</w:t>
            </w:r>
          </w:p>
        </w:tc>
        <w:tc>
          <w:tcPr>
            <w:tcW w:w="820" w:type="pct"/>
            <w:shd w:val="clear" w:color="auto" w:fill="D9D9D9" w:themeFill="background1" w:themeFillShade="D9"/>
          </w:tcPr>
          <w:p w14:paraId="14AF5D41" w14:textId="17906444" w:rsidR="004B6292" w:rsidRPr="00D93806" w:rsidRDefault="004B6292" w:rsidP="004B62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792 317 736</w:t>
            </w:r>
          </w:p>
        </w:tc>
      </w:tr>
    </w:tbl>
    <w:p w14:paraId="61C33A17" w14:textId="77777777" w:rsidR="0042194D" w:rsidRPr="008A365E" w:rsidRDefault="0042194D" w:rsidP="0042194D">
      <w:pPr>
        <w:pStyle w:val="Bezmezer"/>
      </w:pPr>
    </w:p>
    <w:p w14:paraId="19987C51" w14:textId="218EE6E4" w:rsidR="0042194D" w:rsidRPr="008A365E" w:rsidRDefault="0042194D" w:rsidP="002A63A6">
      <w:pPr>
        <w:pStyle w:val="Nadpis3"/>
      </w:pPr>
      <w:bookmarkStart w:id="39" w:name="_Ref63767383"/>
      <w:bookmarkStart w:id="40" w:name="_Toc148597875"/>
      <w:r w:rsidRPr="008A365E">
        <w:t>Provozní náklady železniční infrastruktury</w:t>
      </w:r>
      <w:bookmarkEnd w:id="39"/>
      <w:bookmarkEnd w:id="40"/>
    </w:p>
    <w:p w14:paraId="09E601DA" w14:textId="3782DA4C" w:rsidR="0042194D" w:rsidRPr="008A365E" w:rsidRDefault="0042194D" w:rsidP="002A63A6">
      <w:pPr>
        <w:pStyle w:val="Nadpis4"/>
      </w:pPr>
      <w:bookmarkStart w:id="41" w:name="_Ref63767423"/>
      <w:r w:rsidRPr="008A365E">
        <w:t>Náklady na údržbu a opravy</w:t>
      </w:r>
      <w:bookmarkEnd w:id="41"/>
    </w:p>
    <w:p w14:paraId="0094AF6D" w14:textId="4C02699C" w:rsidR="00CC32EB" w:rsidRPr="008A365E" w:rsidRDefault="00CC32EB" w:rsidP="00CC32EB">
      <w:r w:rsidRPr="008A365E">
        <w:t xml:space="preserve">Náklady na údržbu a opravy železniční infrastruktury byly stanoveny na základě Rezortní metodiky. Vzhledem k charakteru stavby (nejedná se o ucelený koridor délky 50 km a více) byla použita metoda individuální kalkulace a výše nákladů byla stanovena odvozením údržbových i opravných nákladů od výše </w:t>
      </w:r>
      <w:r w:rsidR="00A76F2F" w:rsidRPr="008A365E">
        <w:t>komplexní obnovy</w:t>
      </w:r>
      <w:r w:rsidRPr="008A365E">
        <w:t>. Trať byla zařazena do charakteristické třídy TC3 dle tabulky 8.29 v Rezortní metodice.</w:t>
      </w:r>
    </w:p>
    <w:p w14:paraId="631AA224" w14:textId="68AD9892" w:rsidR="00CC32EB" w:rsidRPr="008A365E" w:rsidRDefault="00CC32EB" w:rsidP="00CC32EB">
      <w:r w:rsidRPr="008A365E">
        <w:t xml:space="preserve">V souladu s doporučením Rezortní metodiky jsou náklady na údržbu </w:t>
      </w:r>
      <w:r w:rsidR="00895C80" w:rsidRPr="008A365E">
        <w:t xml:space="preserve">objektů pro čekání cestujících (nástupiště, podchod, přístupové cesty) </w:t>
      </w:r>
      <w:r w:rsidRPr="008A365E">
        <w:t>uvažovány ve výši 1 % z</w:t>
      </w:r>
      <w:r w:rsidR="00A76F2F" w:rsidRPr="008A365E">
        <w:t> komplexní obnovy</w:t>
      </w:r>
      <w:r w:rsidRPr="008A365E">
        <w:t xml:space="preserve"> v případě varianty bez projektu a z investičních nákladů v případě varianty projektové. Stavbou dochází ke zlepšení technických parametrů infrastruktury, se kterými souvisí zvýšení nákladů na údržbu. </w:t>
      </w:r>
      <w:r w:rsidR="00895C80" w:rsidRPr="008A365E">
        <w:t>Náklady na údržbu a opravy budovy byly stanoveny na základě údajů od správce objektu, a to zvlášť pro variantu bez projektu a projektov</w:t>
      </w:r>
      <w:r w:rsidR="00D043C9" w:rsidRPr="008A365E">
        <w:t>ou</w:t>
      </w:r>
      <w:r w:rsidR="00895C80" w:rsidRPr="008A365E">
        <w:t xml:space="preserve"> variant</w:t>
      </w:r>
      <w:r w:rsidR="00D043C9" w:rsidRPr="008A365E">
        <w:t>u</w:t>
      </w:r>
      <w:r w:rsidR="00895C80" w:rsidRPr="008A365E">
        <w:t>. Náklady jsou vztaženy za celou budovu.</w:t>
      </w:r>
    </w:p>
    <w:p w14:paraId="46FF9717" w14:textId="18CA280D" w:rsidR="0011232E" w:rsidRPr="008A365E" w:rsidRDefault="00CC32EB" w:rsidP="0042194D">
      <w:r w:rsidRPr="008A365E">
        <w:t>Pro stanovení výše nákladů na opravy ve čtvrtině, polovině a třech čtvrtinách životního cyklu zařízení v jednotlivých profesích jsou použity doporučené měrné sazby (viz tabulka 8.32 v Rezortní metodice). Délka životního cyklu vychází z tabulky 8.35 Rezortní metodiky.</w:t>
      </w:r>
    </w:p>
    <w:p w14:paraId="06CC9939" w14:textId="60E5023F" w:rsidR="0042194D" w:rsidRPr="008A365E" w:rsidRDefault="0042194D" w:rsidP="0042194D">
      <w:pPr>
        <w:pStyle w:val="Nadpis4"/>
      </w:pPr>
      <w:bookmarkStart w:id="42" w:name="_Ref63767442"/>
      <w:r w:rsidRPr="008A365E">
        <w:t>Náklady na obnovu zařízení (</w:t>
      </w:r>
      <w:r w:rsidR="003D6781" w:rsidRPr="008A365E">
        <w:t>komplexní obnovy</w:t>
      </w:r>
      <w:r w:rsidRPr="008A365E">
        <w:t>)</w:t>
      </w:r>
      <w:bookmarkEnd w:id="42"/>
    </w:p>
    <w:p w14:paraId="2C964C79" w14:textId="350361A7" w:rsidR="00184319" w:rsidRPr="008A365E" w:rsidRDefault="00184319" w:rsidP="00184319">
      <w:r w:rsidRPr="008A365E">
        <w:t xml:space="preserve">Obdobně jako náklady na údržbu a opravy jsou i výše </w:t>
      </w:r>
      <w:r w:rsidR="003D6781" w:rsidRPr="008A365E">
        <w:t>komplexních obnov</w:t>
      </w:r>
      <w:r w:rsidRPr="008A365E">
        <w:t xml:space="preserve"> stanoveny na základě Rezortní metodiky. Vzhledem k charakteru stavby byla použita metoda podrobného ocenění obnovy. Toto ocenění je provedeno na základě Sborníku pro oceňování železničních staveb</w:t>
      </w:r>
      <w:r w:rsidR="002A3FF5">
        <w:t xml:space="preserve"> ve stupni studie</w:t>
      </w:r>
      <w:r w:rsidRPr="008A365E">
        <w:t>. Délka životního cyklu zařízení v jednotlivých profesích vychází z tabulky 8.35 Rezortní metodiky.</w:t>
      </w:r>
    </w:p>
    <w:p w14:paraId="145913B8" w14:textId="38EA2FDA" w:rsidR="00184319" w:rsidRPr="008A365E" w:rsidRDefault="00184319" w:rsidP="00184319">
      <w:r w:rsidRPr="008A365E">
        <w:t xml:space="preserve">Podrobnější popis uvažovaných </w:t>
      </w:r>
      <w:r w:rsidR="003D6781" w:rsidRPr="008A365E">
        <w:t>komplexních obnov</w:t>
      </w:r>
      <w:r w:rsidRPr="008A365E">
        <w:t xml:space="preserve"> je uveden v </w:t>
      </w:r>
      <w:proofErr w:type="gramStart"/>
      <w:r w:rsidRPr="008A365E">
        <w:t xml:space="preserve">kapitole </w:t>
      </w:r>
      <w:r w:rsidRPr="008A365E">
        <w:fldChar w:fldCharType="begin"/>
      </w:r>
      <w:r w:rsidRPr="008A365E">
        <w:instrText xml:space="preserve"> REF _Ref36030015 \r \h  \* MERGEFORMAT </w:instrText>
      </w:r>
      <w:r w:rsidRPr="008A365E">
        <w:fldChar w:fldCharType="separate"/>
      </w:r>
      <w:r w:rsidR="00C16554">
        <w:t>5.1</w:t>
      </w:r>
      <w:r w:rsidRPr="008A365E">
        <w:fldChar w:fldCharType="end"/>
      </w:r>
      <w:r w:rsidRPr="008A365E">
        <w:t xml:space="preserve"> </w:t>
      </w:r>
      <w:r w:rsidRPr="008A365E">
        <w:fldChar w:fldCharType="begin"/>
      </w:r>
      <w:r w:rsidRPr="008A365E">
        <w:instrText xml:space="preserve"> REF _Ref36030021 \h  \* MERGEFORMAT </w:instrText>
      </w:r>
      <w:r w:rsidRPr="008A365E">
        <w:fldChar w:fldCharType="separate"/>
      </w:r>
      <w:r w:rsidR="00C16554" w:rsidRPr="006C75C4">
        <w:rPr>
          <w:noProof/>
        </w:rPr>
        <w:t>Varianta</w:t>
      </w:r>
      <w:proofErr w:type="gramEnd"/>
      <w:r w:rsidR="00C16554" w:rsidRPr="006C75C4">
        <w:rPr>
          <w:noProof/>
        </w:rPr>
        <w:t xml:space="preserve"> bez projektu</w:t>
      </w:r>
      <w:r w:rsidRPr="008A365E">
        <w:fldChar w:fldCharType="end"/>
      </w:r>
      <w:r w:rsidRPr="008A365E">
        <w:t xml:space="preserve"> a </w:t>
      </w:r>
      <w:r w:rsidRPr="008A365E">
        <w:fldChar w:fldCharType="begin"/>
      </w:r>
      <w:r w:rsidRPr="008A365E">
        <w:instrText xml:space="preserve"> REF _Ref36030034 \r \h  \* MERGEFORMAT </w:instrText>
      </w:r>
      <w:r w:rsidRPr="008A365E">
        <w:fldChar w:fldCharType="separate"/>
      </w:r>
      <w:r w:rsidR="00C16554">
        <w:t>5.2</w:t>
      </w:r>
      <w:r w:rsidRPr="008A365E">
        <w:fldChar w:fldCharType="end"/>
      </w:r>
      <w:r w:rsidRPr="008A365E">
        <w:t> </w:t>
      </w:r>
      <w:r w:rsidRPr="008A365E">
        <w:fldChar w:fldCharType="begin"/>
      </w:r>
      <w:r w:rsidRPr="008A365E">
        <w:instrText xml:space="preserve"> REF _Ref36030040 \h  \* MERGEFORMAT </w:instrText>
      </w:r>
      <w:r w:rsidRPr="008A365E">
        <w:fldChar w:fldCharType="separate"/>
      </w:r>
      <w:r w:rsidR="00C16554">
        <w:t>Varianta s projektem</w:t>
      </w:r>
      <w:r w:rsidRPr="008A365E">
        <w:fldChar w:fldCharType="end"/>
      </w:r>
      <w:r w:rsidRPr="008A365E">
        <w:t>.</w:t>
      </w:r>
    </w:p>
    <w:p w14:paraId="2E822E68" w14:textId="2C62E9C4" w:rsidR="00A75EC7" w:rsidRPr="008A365E" w:rsidRDefault="006D2641" w:rsidP="007328B6">
      <w:pPr>
        <w:spacing w:after="0"/>
        <w:rPr>
          <w:b/>
          <w:bCs/>
        </w:rPr>
      </w:pPr>
      <w:r w:rsidRPr="008A365E">
        <w:rPr>
          <w:b/>
          <w:bCs/>
        </w:rPr>
        <w:t xml:space="preserve">Varianta </w:t>
      </w:r>
      <w:r w:rsidR="007328B6" w:rsidRPr="008A365E">
        <w:rPr>
          <w:b/>
          <w:bCs/>
        </w:rPr>
        <w:t>bez projektu</w:t>
      </w:r>
    </w:p>
    <w:p w14:paraId="02849CE6" w14:textId="5E5E8364" w:rsidR="00CA2C80" w:rsidRPr="008A365E" w:rsidRDefault="00CA2C80" w:rsidP="00CA2C80">
      <w:r w:rsidRPr="008A365E">
        <w:t xml:space="preserve">Ve variantě bez projektu je pro zajištění infrastrukturních staveb v provozuschopném stavu nezbytné provést následující </w:t>
      </w:r>
      <w:r w:rsidR="003D6781" w:rsidRPr="008A365E">
        <w:t>komplexní obnovy</w:t>
      </w:r>
      <w:r w:rsidRPr="008A365E">
        <w:t>:</w:t>
      </w:r>
    </w:p>
    <w:p w14:paraId="3483D5E8" w14:textId="4432C4C6" w:rsidR="00CA2C80" w:rsidRPr="008A365E" w:rsidRDefault="00CA2C80" w:rsidP="00530D89">
      <w:pPr>
        <w:pStyle w:val="Odstavecseseznamem"/>
        <w:numPr>
          <w:ilvl w:val="0"/>
          <w:numId w:val="7"/>
        </w:numPr>
      </w:pPr>
      <w:r w:rsidRPr="008A365E">
        <w:t>v roce 202</w:t>
      </w:r>
      <w:r w:rsidR="00DA0A59" w:rsidRPr="008A365E">
        <w:t>6</w:t>
      </w:r>
      <w:r w:rsidRPr="008A365E">
        <w:t xml:space="preserve"> – silnoproudé rozvody a zařízení</w:t>
      </w:r>
      <w:r w:rsidR="00E05C91" w:rsidRPr="008A365E">
        <w:t>;</w:t>
      </w:r>
      <w:r w:rsidRPr="008A365E">
        <w:t xml:space="preserve"> železniční svršek</w:t>
      </w:r>
      <w:r w:rsidR="00E05C91" w:rsidRPr="008A365E">
        <w:t xml:space="preserve">; železniční </w:t>
      </w:r>
      <w:r w:rsidRPr="008A365E">
        <w:t>spodek</w:t>
      </w:r>
      <w:r w:rsidR="00E05C91" w:rsidRPr="008A365E">
        <w:t>;</w:t>
      </w:r>
      <w:r w:rsidRPr="008A365E">
        <w:t xml:space="preserve"> trakce</w:t>
      </w:r>
      <w:r w:rsidR="00E05C91" w:rsidRPr="008A365E">
        <w:t>;</w:t>
      </w:r>
      <w:r w:rsidRPr="008A365E">
        <w:t xml:space="preserve"> inženýrské sítě a pozemní stavby, nástupiště a přístřešky ve výši: </w:t>
      </w:r>
      <w:r w:rsidR="00750E16" w:rsidRPr="008A365E">
        <w:br/>
      </w:r>
      <w:r w:rsidRPr="008A365E">
        <w:t>1</w:t>
      </w:r>
      <w:r w:rsidR="00DC148C" w:rsidRPr="008A365E">
        <w:t>09</w:t>
      </w:r>
      <w:r w:rsidRPr="008A365E">
        <w:t> </w:t>
      </w:r>
      <w:r w:rsidR="00DC148C" w:rsidRPr="008A365E">
        <w:t>875</w:t>
      </w:r>
      <w:r w:rsidRPr="008A365E">
        <w:t xml:space="preserve"> </w:t>
      </w:r>
      <w:r w:rsidR="00DC148C" w:rsidRPr="008A365E">
        <w:t>641</w:t>
      </w:r>
      <w:r w:rsidRPr="008A365E">
        <w:t xml:space="preserve"> Kč;</w:t>
      </w:r>
    </w:p>
    <w:p w14:paraId="40B20185" w14:textId="715E45C2" w:rsidR="00CA2C80" w:rsidRPr="008A365E" w:rsidRDefault="00CA2C80" w:rsidP="00530D89">
      <w:pPr>
        <w:pStyle w:val="Odstavecseseznamem"/>
        <w:numPr>
          <w:ilvl w:val="0"/>
          <w:numId w:val="7"/>
        </w:numPr>
      </w:pPr>
      <w:r w:rsidRPr="008A365E">
        <w:t>v roce 202</w:t>
      </w:r>
      <w:r w:rsidR="002F3142" w:rsidRPr="008A365E">
        <w:t>7</w:t>
      </w:r>
      <w:r w:rsidRPr="008A365E">
        <w:t xml:space="preserve"> – inženýrské sítě a pozemní stavby, nástupiště a přístřešky ve výši: </w:t>
      </w:r>
      <w:r w:rsidR="00E05C91" w:rsidRPr="008A365E">
        <w:t>1</w:t>
      </w:r>
      <w:r w:rsidR="00A54503" w:rsidRPr="008A365E">
        <w:t>9</w:t>
      </w:r>
      <w:r w:rsidR="00E05C91" w:rsidRPr="008A365E">
        <w:t> </w:t>
      </w:r>
      <w:r w:rsidR="004B2902" w:rsidRPr="008A365E">
        <w:t>964</w:t>
      </w:r>
      <w:r w:rsidR="00E05C91" w:rsidRPr="008A365E">
        <w:t xml:space="preserve"> </w:t>
      </w:r>
      <w:r w:rsidR="004B2902" w:rsidRPr="008A365E">
        <w:t>163</w:t>
      </w:r>
      <w:r w:rsidRPr="008A365E">
        <w:t xml:space="preserve"> Kč;</w:t>
      </w:r>
    </w:p>
    <w:p w14:paraId="07F12CCD" w14:textId="7B242762" w:rsidR="00CA2C80" w:rsidRPr="00750E16" w:rsidRDefault="00CA2C80" w:rsidP="00530D89">
      <w:pPr>
        <w:pStyle w:val="Odstavecseseznamem"/>
        <w:numPr>
          <w:ilvl w:val="0"/>
          <w:numId w:val="7"/>
        </w:numPr>
      </w:pPr>
      <w:r w:rsidRPr="004E02BB">
        <w:lastRenderedPageBreak/>
        <w:t>v roce 202</w:t>
      </w:r>
      <w:r w:rsidR="00E05C91" w:rsidRPr="004E02BB">
        <w:t>8</w:t>
      </w:r>
      <w:r w:rsidRPr="004E02BB">
        <w:t xml:space="preserve"> –</w:t>
      </w:r>
      <w:r w:rsidR="00E05C91" w:rsidRPr="004E02BB">
        <w:t xml:space="preserve"> </w:t>
      </w:r>
      <w:r w:rsidRPr="004E02BB">
        <w:t xml:space="preserve">silnoproudé rozvody a zařízení; </w:t>
      </w:r>
      <w:r w:rsidR="00E05C91" w:rsidRPr="004E02BB">
        <w:t xml:space="preserve">železniční svršek; železniční spodek; trakce; </w:t>
      </w:r>
      <w:r w:rsidR="004B2902" w:rsidRPr="004E02BB">
        <w:t>sdělovací zařízení</w:t>
      </w:r>
      <w:r w:rsidR="00E05C91" w:rsidRPr="004E02BB">
        <w:t xml:space="preserve"> </w:t>
      </w:r>
      <w:r w:rsidRPr="004E02BB">
        <w:t>a pozemní stavby, nástupiště a přístřeš</w:t>
      </w:r>
      <w:r w:rsidR="00E05C91" w:rsidRPr="004E02BB">
        <w:t>ky</w:t>
      </w:r>
      <w:r w:rsidRPr="004E02BB">
        <w:t xml:space="preserve"> ve výši: </w:t>
      </w:r>
      <w:r w:rsidR="00750E16" w:rsidRPr="004E02BB">
        <w:br/>
      </w:r>
      <w:r w:rsidR="004B2902" w:rsidRPr="004E02BB">
        <w:t>79</w:t>
      </w:r>
      <w:r w:rsidR="00E05C91" w:rsidRPr="004E02BB">
        <w:t> </w:t>
      </w:r>
      <w:r w:rsidR="004B2902" w:rsidRPr="004E02BB">
        <w:t>359</w:t>
      </w:r>
      <w:r w:rsidR="00E05C91" w:rsidRPr="004E02BB">
        <w:t xml:space="preserve"> </w:t>
      </w:r>
      <w:r w:rsidR="004B2902" w:rsidRPr="004E02BB">
        <w:t>520</w:t>
      </w:r>
      <w:r w:rsidRPr="004E02BB">
        <w:t xml:space="preserve"> Kč</w:t>
      </w:r>
      <w:r w:rsidRPr="00750E16">
        <w:t>;</w:t>
      </w:r>
    </w:p>
    <w:p w14:paraId="4A507403" w14:textId="3616E2BF" w:rsidR="00CA2C80" w:rsidRPr="004E02BB" w:rsidRDefault="00CA2C80" w:rsidP="00530D89">
      <w:pPr>
        <w:pStyle w:val="Odstavecseseznamem"/>
        <w:numPr>
          <w:ilvl w:val="0"/>
          <w:numId w:val="7"/>
        </w:numPr>
      </w:pPr>
      <w:r w:rsidRPr="00750E16">
        <w:t>v roce 203</w:t>
      </w:r>
      <w:r w:rsidR="00E05C91" w:rsidRPr="00750E16">
        <w:t>6</w:t>
      </w:r>
      <w:r w:rsidRPr="00750E16">
        <w:t xml:space="preserve"> – </w:t>
      </w:r>
      <w:r w:rsidR="00E05C91" w:rsidRPr="00750E16">
        <w:t xml:space="preserve">sdělovací </w:t>
      </w:r>
      <w:r w:rsidR="00E05C91" w:rsidRPr="004E02BB">
        <w:t xml:space="preserve">zařízení; </w:t>
      </w:r>
      <w:r w:rsidR="00750E16" w:rsidRPr="004E02BB">
        <w:t xml:space="preserve">silnoproudé rozvody a zařízení a </w:t>
      </w:r>
      <w:r w:rsidRPr="004E02BB">
        <w:t xml:space="preserve">pozemní stavby, nástupiště a přístřešky ve výši: </w:t>
      </w:r>
      <w:r w:rsidR="004B2902" w:rsidRPr="004E02BB">
        <w:t>64</w:t>
      </w:r>
      <w:r w:rsidR="00750E16" w:rsidRPr="004E02BB">
        <w:t> </w:t>
      </w:r>
      <w:r w:rsidR="004B2902" w:rsidRPr="004E02BB">
        <w:t>147</w:t>
      </w:r>
      <w:r w:rsidR="00750E16" w:rsidRPr="004E02BB">
        <w:t xml:space="preserve"> </w:t>
      </w:r>
      <w:r w:rsidR="004B2902" w:rsidRPr="004E02BB">
        <w:t>545</w:t>
      </w:r>
      <w:r w:rsidRPr="004E02BB">
        <w:t xml:space="preserve"> Kč;</w:t>
      </w:r>
    </w:p>
    <w:p w14:paraId="0B7F7222" w14:textId="5EFAF22F" w:rsidR="00CA2C80" w:rsidRPr="004E02BB" w:rsidRDefault="00CA2C80" w:rsidP="00530D89">
      <w:pPr>
        <w:pStyle w:val="Odstavecseseznamem"/>
        <w:numPr>
          <w:ilvl w:val="0"/>
          <w:numId w:val="7"/>
        </w:numPr>
      </w:pPr>
      <w:r w:rsidRPr="004E02BB">
        <w:t>v roce 20</w:t>
      </w:r>
      <w:r w:rsidR="00750E16" w:rsidRPr="004E02BB">
        <w:t>41</w:t>
      </w:r>
      <w:r w:rsidRPr="004E02BB">
        <w:t xml:space="preserve"> –</w:t>
      </w:r>
      <w:r w:rsidR="004B2902" w:rsidRPr="004E02BB">
        <w:t xml:space="preserve"> </w:t>
      </w:r>
      <w:r w:rsidRPr="004E02BB">
        <w:t xml:space="preserve">pozemní stavby, nástupiště a přístřešky ve výši: </w:t>
      </w:r>
      <w:r w:rsidR="004B2902" w:rsidRPr="004E02BB">
        <w:t>3</w:t>
      </w:r>
      <w:r w:rsidR="00750E16" w:rsidRPr="004E02BB">
        <w:t> </w:t>
      </w:r>
      <w:r w:rsidR="004B2902" w:rsidRPr="004E02BB">
        <w:t>279</w:t>
      </w:r>
      <w:r w:rsidR="00750E16" w:rsidRPr="004E02BB">
        <w:t xml:space="preserve"> </w:t>
      </w:r>
      <w:r w:rsidR="004B2902" w:rsidRPr="004E02BB">
        <w:t>326</w:t>
      </w:r>
      <w:r w:rsidRPr="004E02BB">
        <w:t xml:space="preserve"> Kč</w:t>
      </w:r>
      <w:r w:rsidR="004B2902" w:rsidRPr="004E02BB">
        <w:t>;</w:t>
      </w:r>
    </w:p>
    <w:p w14:paraId="1B3BB1C3" w14:textId="6A2B6538" w:rsidR="004B2902" w:rsidRPr="004E02BB" w:rsidRDefault="004B2902" w:rsidP="00530D89">
      <w:pPr>
        <w:pStyle w:val="Odstavecseseznamem"/>
        <w:numPr>
          <w:ilvl w:val="0"/>
          <w:numId w:val="7"/>
        </w:numPr>
      </w:pPr>
      <w:r w:rsidRPr="004E02BB">
        <w:t>v roce 2046 – sdělovací zařízení ve výši: 46 891 541 Kč;</w:t>
      </w:r>
    </w:p>
    <w:p w14:paraId="334A2A11" w14:textId="3BB250D1" w:rsidR="00CA2C80" w:rsidRPr="004E02BB" w:rsidRDefault="00CA2C80" w:rsidP="00530D89">
      <w:pPr>
        <w:pStyle w:val="Odstavecseseznamem"/>
        <w:numPr>
          <w:ilvl w:val="0"/>
          <w:numId w:val="7"/>
        </w:numPr>
      </w:pPr>
      <w:r w:rsidRPr="004E02BB">
        <w:t>v roce 205</w:t>
      </w:r>
      <w:r w:rsidR="00750E16" w:rsidRPr="004E02BB">
        <w:t>4</w:t>
      </w:r>
      <w:r w:rsidRPr="004E02BB">
        <w:t xml:space="preserve"> – </w:t>
      </w:r>
      <w:r w:rsidR="004B2902" w:rsidRPr="004E02BB">
        <w:t xml:space="preserve">sdělovací zařízení; </w:t>
      </w:r>
      <w:r w:rsidR="00750E16" w:rsidRPr="004E02BB">
        <w:t xml:space="preserve">silnoproudé rozvody a zařízení; trakce; </w:t>
      </w:r>
      <w:r w:rsidRPr="004E02BB">
        <w:t xml:space="preserve">ve výši: </w:t>
      </w:r>
      <w:r w:rsidR="002142A9" w:rsidRPr="004E02BB">
        <w:br/>
      </w:r>
      <w:r w:rsidR="00750E16" w:rsidRPr="004E02BB">
        <w:t>3</w:t>
      </w:r>
      <w:r w:rsidR="004B2902" w:rsidRPr="004E02BB">
        <w:t>7</w:t>
      </w:r>
      <w:r w:rsidR="00750E16" w:rsidRPr="004E02BB">
        <w:t> </w:t>
      </w:r>
      <w:r w:rsidR="004B2902" w:rsidRPr="004E02BB">
        <w:t>166</w:t>
      </w:r>
      <w:r w:rsidR="00750E16" w:rsidRPr="004E02BB">
        <w:t xml:space="preserve"> </w:t>
      </w:r>
      <w:r w:rsidR="004B2902" w:rsidRPr="004E02BB">
        <w:t>248</w:t>
      </w:r>
      <w:r w:rsidRPr="004E02BB">
        <w:t xml:space="preserve"> Kč</w:t>
      </w:r>
      <w:r w:rsidR="00750E16" w:rsidRPr="004E02BB">
        <w:t>.</w:t>
      </w:r>
    </w:p>
    <w:p w14:paraId="72CC04A7" w14:textId="13CB09B9" w:rsidR="00F36D7A" w:rsidRPr="008A365E" w:rsidRDefault="00F36D7A" w:rsidP="00F36D7A">
      <w:r w:rsidRPr="004E02BB">
        <w:t xml:space="preserve">V roce 2026 jsou </w:t>
      </w:r>
      <w:r w:rsidRPr="008A365E">
        <w:t xml:space="preserve">do </w:t>
      </w:r>
      <w:r w:rsidR="003D6781" w:rsidRPr="008A365E">
        <w:t>komplexních obnov</w:t>
      </w:r>
      <w:r w:rsidR="00DC148C" w:rsidRPr="008A365E">
        <w:t xml:space="preserve"> </w:t>
      </w:r>
      <w:r w:rsidR="009D0EA2" w:rsidRPr="008A365E">
        <w:t xml:space="preserve">této varianty </w:t>
      </w:r>
      <w:r w:rsidR="00DC148C" w:rsidRPr="008A365E">
        <w:t>v CBA tabulce</w:t>
      </w:r>
      <w:r w:rsidRPr="008A365E">
        <w:t xml:space="preserve"> připočtené vedlejší náklady stavby.</w:t>
      </w:r>
    </w:p>
    <w:p w14:paraId="5EBA2154" w14:textId="19244D42" w:rsidR="007328B6" w:rsidRPr="008A365E" w:rsidRDefault="007328B6" w:rsidP="007328B6">
      <w:pPr>
        <w:spacing w:after="0"/>
        <w:rPr>
          <w:b/>
        </w:rPr>
      </w:pPr>
      <w:r w:rsidRPr="008A365E">
        <w:rPr>
          <w:b/>
        </w:rPr>
        <w:t>Varianta s</w:t>
      </w:r>
      <w:r w:rsidR="00CA2C80" w:rsidRPr="008A365E">
        <w:rPr>
          <w:b/>
        </w:rPr>
        <w:t> </w:t>
      </w:r>
      <w:r w:rsidRPr="008A365E">
        <w:rPr>
          <w:b/>
        </w:rPr>
        <w:t>projektem</w:t>
      </w:r>
    </w:p>
    <w:p w14:paraId="7FBB322A" w14:textId="78360A84" w:rsidR="00CA2C80" w:rsidRPr="008A365E" w:rsidRDefault="00CA2C80" w:rsidP="007328B6">
      <w:pPr>
        <w:spacing w:after="0"/>
        <w:rPr>
          <w:noProof/>
        </w:rPr>
      </w:pPr>
      <w:r w:rsidRPr="008A365E">
        <w:rPr>
          <w:noProof/>
        </w:rPr>
        <w:t xml:space="preserve">Ve variantě s projektem dochází stavbou k rekonstrukci vybraných prvků infrastruktury, čímž v prvních letech hodnoticího období není nutné provádět významné </w:t>
      </w:r>
      <w:r w:rsidR="00A76F2F" w:rsidRPr="008A365E">
        <w:rPr>
          <w:noProof/>
        </w:rPr>
        <w:t>komplexní obnovy</w:t>
      </w:r>
      <w:r w:rsidRPr="008A365E">
        <w:rPr>
          <w:noProof/>
        </w:rPr>
        <w:t>.</w:t>
      </w:r>
    </w:p>
    <w:p w14:paraId="4CF29AE3" w14:textId="5F83F8B7" w:rsidR="002F3142" w:rsidRPr="008A365E" w:rsidRDefault="002F3142" w:rsidP="007328B6">
      <w:pPr>
        <w:spacing w:after="0"/>
        <w:rPr>
          <w:noProof/>
        </w:rPr>
      </w:pPr>
    </w:p>
    <w:p w14:paraId="64E97E50" w14:textId="0CA9C05C" w:rsidR="002F3142" w:rsidRPr="008A365E" w:rsidRDefault="002F3142" w:rsidP="007328B6">
      <w:pPr>
        <w:spacing w:after="0"/>
        <w:rPr>
          <w:noProof/>
        </w:rPr>
      </w:pPr>
      <w:r w:rsidRPr="008A365E">
        <w:rPr>
          <w:noProof/>
        </w:rPr>
        <w:t xml:space="preserve">V projektové variantě je nutné provést z důvodu dožití následující </w:t>
      </w:r>
      <w:r w:rsidR="00A76F2F" w:rsidRPr="008A365E">
        <w:rPr>
          <w:noProof/>
        </w:rPr>
        <w:t>komplexní obnovy</w:t>
      </w:r>
      <w:r w:rsidRPr="008A365E">
        <w:rPr>
          <w:noProof/>
        </w:rPr>
        <w:t>:</w:t>
      </w:r>
    </w:p>
    <w:p w14:paraId="3B8596A0" w14:textId="64E5DB86" w:rsidR="002F3142" w:rsidRPr="00D93806" w:rsidRDefault="002F3142" w:rsidP="00530D89">
      <w:pPr>
        <w:pStyle w:val="Odstavecseseznamem"/>
        <w:numPr>
          <w:ilvl w:val="0"/>
          <w:numId w:val="8"/>
        </w:numPr>
        <w:spacing w:after="0"/>
        <w:rPr>
          <w:noProof/>
        </w:rPr>
      </w:pPr>
      <w:r w:rsidRPr="008A365E">
        <w:rPr>
          <w:noProof/>
        </w:rPr>
        <w:t xml:space="preserve">v roce 2049 – komunikace a </w:t>
      </w:r>
      <w:r w:rsidRPr="00D93806">
        <w:rPr>
          <w:noProof/>
        </w:rPr>
        <w:t xml:space="preserve">zpěvněné plochy ve výši: </w:t>
      </w:r>
      <w:r w:rsidR="004B6292" w:rsidRPr="00D93806">
        <w:rPr>
          <w:noProof/>
        </w:rPr>
        <w:t>3</w:t>
      </w:r>
      <w:r w:rsidR="005A750A" w:rsidRPr="00D93806">
        <w:rPr>
          <w:noProof/>
        </w:rPr>
        <w:t> </w:t>
      </w:r>
      <w:r w:rsidR="004B6292" w:rsidRPr="00D93806">
        <w:rPr>
          <w:noProof/>
        </w:rPr>
        <w:t>534</w:t>
      </w:r>
      <w:r w:rsidR="005A750A" w:rsidRPr="00D93806">
        <w:rPr>
          <w:noProof/>
        </w:rPr>
        <w:t xml:space="preserve"> </w:t>
      </w:r>
      <w:r w:rsidR="004B6292" w:rsidRPr="00D93806">
        <w:rPr>
          <w:noProof/>
        </w:rPr>
        <w:t>649</w:t>
      </w:r>
      <w:r w:rsidRPr="00D93806">
        <w:rPr>
          <w:noProof/>
        </w:rPr>
        <w:t xml:space="preserve"> Kč;</w:t>
      </w:r>
    </w:p>
    <w:p w14:paraId="6E7622B8" w14:textId="3B0BA1C2" w:rsidR="002F3142" w:rsidRPr="00D93806" w:rsidRDefault="002F3142" w:rsidP="00530D89">
      <w:pPr>
        <w:pStyle w:val="Odstavecseseznamem"/>
        <w:numPr>
          <w:ilvl w:val="0"/>
          <w:numId w:val="8"/>
        </w:numPr>
        <w:spacing w:after="0"/>
        <w:rPr>
          <w:noProof/>
        </w:rPr>
      </w:pPr>
      <w:r w:rsidRPr="00D93806">
        <w:rPr>
          <w:noProof/>
        </w:rPr>
        <w:t>v roce 2054 – zabezpečovací a sdělovací zařízení, silnoproudé rozvody a zařízení</w:t>
      </w:r>
      <w:r w:rsidR="005A750A" w:rsidRPr="00D93806">
        <w:rPr>
          <w:noProof/>
        </w:rPr>
        <w:t xml:space="preserve"> </w:t>
      </w:r>
      <w:r w:rsidR="005A750A" w:rsidRPr="00D93806">
        <w:rPr>
          <w:noProof/>
        </w:rPr>
        <w:br/>
        <w:t>a</w:t>
      </w:r>
      <w:r w:rsidRPr="00D93806">
        <w:rPr>
          <w:noProof/>
        </w:rPr>
        <w:t xml:space="preserve"> trakce ve výši: </w:t>
      </w:r>
      <w:r w:rsidR="005A750A" w:rsidRPr="00D93806">
        <w:rPr>
          <w:noProof/>
        </w:rPr>
        <w:t>1</w:t>
      </w:r>
      <w:r w:rsidR="004B6292" w:rsidRPr="00D93806">
        <w:rPr>
          <w:noProof/>
        </w:rPr>
        <w:t>62</w:t>
      </w:r>
      <w:r w:rsidR="005A750A" w:rsidRPr="00D93806">
        <w:rPr>
          <w:noProof/>
        </w:rPr>
        <w:t> </w:t>
      </w:r>
      <w:r w:rsidR="004B6292" w:rsidRPr="00D93806">
        <w:rPr>
          <w:noProof/>
        </w:rPr>
        <w:t>597</w:t>
      </w:r>
      <w:r w:rsidR="005A750A" w:rsidRPr="00D93806">
        <w:rPr>
          <w:noProof/>
        </w:rPr>
        <w:t xml:space="preserve"> </w:t>
      </w:r>
      <w:r w:rsidR="004B6292" w:rsidRPr="00D93806">
        <w:rPr>
          <w:noProof/>
        </w:rPr>
        <w:t>801</w:t>
      </w:r>
      <w:r w:rsidRPr="00D93806">
        <w:rPr>
          <w:noProof/>
        </w:rPr>
        <w:t xml:space="preserve"> Kč.</w:t>
      </w:r>
    </w:p>
    <w:p w14:paraId="2DABA246" w14:textId="1B8DEDCE" w:rsidR="00CA2C80" w:rsidRPr="008A365E" w:rsidRDefault="00CA2C80" w:rsidP="007328B6">
      <w:pPr>
        <w:spacing w:after="0"/>
        <w:rPr>
          <w:b/>
        </w:rPr>
      </w:pPr>
    </w:p>
    <w:p w14:paraId="5FAD4AEC" w14:textId="38A5D1EC" w:rsidR="008E5D68" w:rsidRPr="002F3142" w:rsidRDefault="007328B6" w:rsidP="00184319">
      <w:pPr>
        <w:rPr>
          <w:highlight w:val="yellow"/>
        </w:rPr>
      </w:pPr>
      <w:r w:rsidRPr="008A365E">
        <w:t>Na základě délky cyklů obnovy nedochází ve variantě s projektem v hodnot</w:t>
      </w:r>
      <w:r w:rsidR="004A2488" w:rsidRPr="008A365E">
        <w:t>i</w:t>
      </w:r>
      <w:r w:rsidRPr="008A365E">
        <w:t xml:space="preserve">cím období k žádným dalším </w:t>
      </w:r>
      <w:r w:rsidR="003D6781" w:rsidRPr="008A365E">
        <w:t>komplexním obnovám</w:t>
      </w:r>
      <w:r w:rsidRPr="008A365E">
        <w:t>.</w:t>
      </w:r>
      <w:r w:rsidR="002F3142" w:rsidRPr="008A365E">
        <w:t xml:space="preserve"> </w:t>
      </w:r>
      <w:r w:rsidR="008E5D68" w:rsidRPr="008A365E">
        <w:t xml:space="preserve">Podrobně jsou náklady na údržbu a opravy </w:t>
      </w:r>
      <w:r w:rsidR="00874E45" w:rsidRPr="008A365E">
        <w:br/>
      </w:r>
      <w:r w:rsidR="008E5D68" w:rsidRPr="008A365E">
        <w:t xml:space="preserve">a </w:t>
      </w:r>
      <w:r w:rsidR="003D6781" w:rsidRPr="008A365E">
        <w:t>komplexní obnovy</w:t>
      </w:r>
      <w:r w:rsidR="008E5D68" w:rsidRPr="008A365E">
        <w:t xml:space="preserve"> vyčísleny v</w:t>
      </w:r>
      <w:r w:rsidR="008E5D68">
        <w:t xml:space="preserve"> přiložené CBA </w:t>
      </w:r>
      <w:r w:rsidR="008E5D68" w:rsidRPr="000249F7">
        <w:t>tabul</w:t>
      </w:r>
      <w:r w:rsidR="008E5D68">
        <w:t>ce</w:t>
      </w:r>
      <w:r w:rsidR="008E5D68" w:rsidRPr="000249F7">
        <w:t>.</w:t>
      </w:r>
    </w:p>
    <w:p w14:paraId="09D8C283" w14:textId="77777777" w:rsidR="00895C80" w:rsidRPr="0076738F" w:rsidRDefault="00895C80" w:rsidP="00895C80">
      <w:pPr>
        <w:pStyle w:val="Nadpis2"/>
      </w:pPr>
      <w:bookmarkStart w:id="43" w:name="_Toc112747650"/>
      <w:bookmarkStart w:id="44" w:name="_Toc148597876"/>
      <w:r w:rsidRPr="0076738F">
        <w:t>Příjmy z pronájmu</w:t>
      </w:r>
      <w:bookmarkEnd w:id="43"/>
      <w:bookmarkEnd w:id="44"/>
    </w:p>
    <w:p w14:paraId="5BAAE1F2" w14:textId="0856B021" w:rsidR="00895C80" w:rsidRPr="000249F7" w:rsidRDefault="00895C80" w:rsidP="00895C80">
      <w:r w:rsidRPr="000249F7">
        <w:t>Ve finanční analýze jsou uvažovány finanční příjmy vyplývající z pře</w:t>
      </w:r>
      <w:r w:rsidR="00575882">
        <w:t>d</w:t>
      </w:r>
      <w:r w:rsidRPr="000249F7">
        <w:t xml:space="preserve">pokládaného </w:t>
      </w:r>
      <w:r w:rsidRPr="00C977D7">
        <w:t>pronájmu prostor v budově.</w:t>
      </w:r>
      <w:r w:rsidRPr="000249F7">
        <w:t xml:space="preserve"> Stanovení výše nájmů bylo odvozeno od podkladů správce budovy.</w:t>
      </w:r>
    </w:p>
    <w:p w14:paraId="45AAF042" w14:textId="5D2EAB08" w:rsidR="00895C80" w:rsidRPr="00E30D89" w:rsidRDefault="00895C80" w:rsidP="00895C80">
      <w:r w:rsidRPr="00E30D89">
        <w:t xml:space="preserve">Ve variantě bez </w:t>
      </w:r>
      <w:r w:rsidRPr="006219F0">
        <w:t xml:space="preserve">projektu se </w:t>
      </w:r>
      <w:r w:rsidR="00FF7749">
        <w:t>příjmy z pronájmů zvýší kvůli navýšení ceny nájmu za m</w:t>
      </w:r>
      <w:r w:rsidR="00FF7749" w:rsidRPr="00514F52">
        <w:rPr>
          <w:vertAlign w:val="superscript"/>
        </w:rPr>
        <w:t>2</w:t>
      </w:r>
      <w:r w:rsidR="00FF7749">
        <w:t>. Výše příjmů z pronájmů předpokládáme v této variantě ve výši 1</w:t>
      </w:r>
      <w:r w:rsidR="00514F52">
        <w:t> </w:t>
      </w:r>
      <w:r w:rsidR="00FF7749">
        <w:t>619</w:t>
      </w:r>
      <w:r w:rsidR="00514F52">
        <w:t xml:space="preserve"> </w:t>
      </w:r>
      <w:r w:rsidR="00FF7749">
        <w:t>726 Kč za rok.</w:t>
      </w:r>
    </w:p>
    <w:p w14:paraId="486A8207" w14:textId="7CD1F137" w:rsidR="00895C80" w:rsidRPr="008246B2" w:rsidRDefault="00895C80" w:rsidP="00895C80">
      <w:r w:rsidRPr="008246B2">
        <w:t xml:space="preserve">V projektové variantě </w:t>
      </w:r>
      <w:r w:rsidRPr="00821939">
        <w:t xml:space="preserve">dochází </w:t>
      </w:r>
      <w:r w:rsidRPr="00FF7749">
        <w:t xml:space="preserve">k rekonstrukci budovy včetně úpravy dispozičního uspořádání </w:t>
      </w:r>
      <w:r w:rsidR="00FF7749" w:rsidRPr="00FF7749">
        <w:t xml:space="preserve">ve vybraných částech </w:t>
      </w:r>
      <w:r w:rsidRPr="00FF7749">
        <w:t>objekt</w:t>
      </w:r>
      <w:r w:rsidR="00FF7749" w:rsidRPr="00FF7749">
        <w:t>u</w:t>
      </w:r>
      <w:r w:rsidRPr="00FF7749">
        <w:t>. Tím dojde k</w:t>
      </w:r>
      <w:r w:rsidR="00FF7749" w:rsidRPr="00FF7749">
        <w:t xml:space="preserve"> redukci prostor </w:t>
      </w:r>
      <w:r w:rsidRPr="00FF7749">
        <w:t xml:space="preserve">pro komerční účely a prostor pro </w:t>
      </w:r>
      <w:r w:rsidR="001E0CDA">
        <w:t>dopravce</w:t>
      </w:r>
      <w:r w:rsidRPr="00FF7749">
        <w:t xml:space="preserve">. Výše příjmů z pronájmu předpokládáme ve výši </w:t>
      </w:r>
      <w:r w:rsidR="00FF7749" w:rsidRPr="00FF7749">
        <w:t>1</w:t>
      </w:r>
      <w:r w:rsidR="00514F52">
        <w:t> </w:t>
      </w:r>
      <w:r w:rsidR="00575882">
        <w:t>560</w:t>
      </w:r>
      <w:r w:rsidR="00514F52">
        <w:t xml:space="preserve"> </w:t>
      </w:r>
      <w:r w:rsidR="00575882">
        <w:t>665</w:t>
      </w:r>
      <w:r w:rsidRPr="00FF7749">
        <w:t xml:space="preserve"> Kč za rok.</w:t>
      </w:r>
      <w:r>
        <w:t>  </w:t>
      </w:r>
    </w:p>
    <w:p w14:paraId="390B3390" w14:textId="2B50DA61" w:rsidR="00895C80" w:rsidRPr="000249F7" w:rsidRDefault="00895C80" w:rsidP="00895C80">
      <w:r w:rsidRPr="000249F7">
        <w:t>V následující tabulce jsou uvedeny hodnoty příjmů z pronájmu v roce po dokončení stavby pro jednotlivé varianty</w:t>
      </w:r>
      <w:r w:rsidR="009768AC">
        <w:t>.</w:t>
      </w:r>
    </w:p>
    <w:p w14:paraId="1BE7D9EC" w14:textId="4DEDBFD0" w:rsidR="00066D89" w:rsidRDefault="00066D89" w:rsidP="00066D89">
      <w:pPr>
        <w:pStyle w:val="Titulek"/>
        <w:keepNext/>
      </w:pPr>
      <w:bookmarkStart w:id="45" w:name="_Toc148597851"/>
      <w:r>
        <w:t xml:space="preserve">Tabulka </w:t>
      </w:r>
      <w:fldSimple w:instr=" SEQ Tabulka \* ARABIC ">
        <w:r w:rsidR="00C16554">
          <w:rPr>
            <w:noProof/>
          </w:rPr>
          <w:t>6</w:t>
        </w:r>
      </w:fldSimple>
      <w:r>
        <w:t xml:space="preserve">: </w:t>
      </w:r>
      <w:r w:rsidRPr="00457F9D">
        <w:t>Příjmy z pronájmu v projektových variantách v Kč, CÚ 2023 v roce po dokončení stavby</w:t>
      </w:r>
      <w:bookmarkEnd w:id="45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70"/>
        <w:gridCol w:w="1668"/>
        <w:gridCol w:w="1668"/>
        <w:gridCol w:w="1668"/>
      </w:tblGrid>
      <w:tr w:rsidR="00895C80" w:rsidRPr="009D7228" w14:paraId="1889479B" w14:textId="77777777" w:rsidTr="00514F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0" w:type="dxa"/>
          </w:tcPr>
          <w:p w14:paraId="7DC6002A" w14:textId="77777777" w:rsidR="00895C80" w:rsidRPr="00514F52" w:rsidRDefault="00895C80" w:rsidP="00CE39C2">
            <w:pPr>
              <w:rPr>
                <w:b/>
                <w:szCs w:val="14"/>
                <w:highlight w:val="yellow"/>
              </w:rPr>
            </w:pPr>
          </w:p>
        </w:tc>
        <w:tc>
          <w:tcPr>
            <w:tcW w:w="1668" w:type="dxa"/>
            <w:vAlign w:val="center"/>
          </w:tcPr>
          <w:p w14:paraId="300137D5" w14:textId="77777777" w:rsidR="00895C80" w:rsidRPr="00514F52" w:rsidRDefault="00895C80" w:rsidP="00514F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514F52">
              <w:rPr>
                <w:b/>
                <w:szCs w:val="14"/>
              </w:rPr>
              <w:t>Stávající stav</w:t>
            </w:r>
          </w:p>
        </w:tc>
        <w:tc>
          <w:tcPr>
            <w:tcW w:w="1668" w:type="dxa"/>
            <w:vAlign w:val="center"/>
          </w:tcPr>
          <w:p w14:paraId="39C7A17F" w14:textId="01418294" w:rsidR="00895C80" w:rsidRPr="00514F52" w:rsidRDefault="00895C80" w:rsidP="00514F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514F52">
              <w:rPr>
                <w:b/>
                <w:szCs w:val="14"/>
              </w:rPr>
              <w:t>Varianta</w:t>
            </w:r>
          </w:p>
          <w:p w14:paraId="3A8B6B0A" w14:textId="493B1F36" w:rsidR="00895C80" w:rsidRPr="00514F52" w:rsidRDefault="00895C80" w:rsidP="00514F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514F52">
              <w:rPr>
                <w:b/>
                <w:szCs w:val="14"/>
              </w:rPr>
              <w:t>bez</w:t>
            </w:r>
          </w:p>
          <w:p w14:paraId="119639AD" w14:textId="77777777" w:rsidR="00895C80" w:rsidRPr="00514F52" w:rsidRDefault="00895C80" w:rsidP="00514F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514F52">
              <w:rPr>
                <w:b/>
                <w:szCs w:val="14"/>
              </w:rPr>
              <w:t>projektu</w:t>
            </w:r>
          </w:p>
        </w:tc>
        <w:tc>
          <w:tcPr>
            <w:tcW w:w="1668" w:type="dxa"/>
            <w:vAlign w:val="center"/>
          </w:tcPr>
          <w:p w14:paraId="4B2F498F" w14:textId="7C294457" w:rsidR="00895C80" w:rsidRPr="00514F52" w:rsidRDefault="00895C80" w:rsidP="00514F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514F52">
              <w:rPr>
                <w:b/>
                <w:szCs w:val="14"/>
              </w:rPr>
              <w:t>Varianta</w:t>
            </w:r>
          </w:p>
          <w:p w14:paraId="7025D720" w14:textId="4E675217" w:rsidR="00895C80" w:rsidRPr="00514F52" w:rsidRDefault="001D40FC" w:rsidP="00514F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514F52">
              <w:rPr>
                <w:b/>
                <w:szCs w:val="14"/>
              </w:rPr>
              <w:t>projektová</w:t>
            </w:r>
          </w:p>
        </w:tc>
      </w:tr>
      <w:tr w:rsidR="00895C80" w:rsidRPr="009D7228" w14:paraId="5850800D" w14:textId="77777777" w:rsidTr="00066D89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70" w:type="dxa"/>
          </w:tcPr>
          <w:p w14:paraId="658CBE7A" w14:textId="4B105E0B" w:rsidR="00895C80" w:rsidRPr="00514F52" w:rsidRDefault="00895C80" w:rsidP="00CE39C2">
            <w:pPr>
              <w:rPr>
                <w:b/>
                <w:szCs w:val="14"/>
                <w:highlight w:val="yellow"/>
              </w:rPr>
            </w:pPr>
            <w:r w:rsidRPr="00514F52">
              <w:rPr>
                <w:b/>
                <w:szCs w:val="14"/>
              </w:rPr>
              <w:t>Příjmy z pronájmu celkem Kč za rok</w:t>
            </w:r>
          </w:p>
        </w:tc>
        <w:tc>
          <w:tcPr>
            <w:tcW w:w="1668" w:type="dxa"/>
          </w:tcPr>
          <w:p w14:paraId="63743EDC" w14:textId="10AB0630" w:rsidR="00895C80" w:rsidRPr="0076738F" w:rsidRDefault="001D40FC" w:rsidP="00D52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76738F">
              <w:rPr>
                <w:b/>
                <w:szCs w:val="14"/>
              </w:rPr>
              <w:t>1</w:t>
            </w:r>
            <w:r w:rsidR="00514F52" w:rsidRPr="0076738F">
              <w:rPr>
                <w:b/>
                <w:szCs w:val="14"/>
              </w:rPr>
              <w:t> </w:t>
            </w:r>
            <w:r w:rsidRPr="0076738F">
              <w:rPr>
                <w:b/>
                <w:szCs w:val="14"/>
              </w:rPr>
              <w:t>453</w:t>
            </w:r>
            <w:r w:rsidR="00514F52" w:rsidRPr="0076738F">
              <w:rPr>
                <w:b/>
                <w:szCs w:val="14"/>
              </w:rPr>
              <w:t xml:space="preserve"> </w:t>
            </w:r>
            <w:r w:rsidRPr="0076738F">
              <w:rPr>
                <w:b/>
                <w:szCs w:val="14"/>
              </w:rPr>
              <w:t>193</w:t>
            </w:r>
          </w:p>
        </w:tc>
        <w:tc>
          <w:tcPr>
            <w:tcW w:w="1668" w:type="dxa"/>
          </w:tcPr>
          <w:p w14:paraId="7D9C7761" w14:textId="7C920C48" w:rsidR="00895C80" w:rsidRPr="0076738F" w:rsidRDefault="001D40FC" w:rsidP="00D5235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76738F">
              <w:rPr>
                <w:b/>
                <w:szCs w:val="14"/>
              </w:rPr>
              <w:t>1</w:t>
            </w:r>
            <w:r w:rsidR="00514F52" w:rsidRPr="0076738F">
              <w:rPr>
                <w:b/>
                <w:szCs w:val="14"/>
              </w:rPr>
              <w:t> </w:t>
            </w:r>
            <w:r w:rsidRPr="0076738F">
              <w:rPr>
                <w:b/>
                <w:szCs w:val="14"/>
              </w:rPr>
              <w:t>619</w:t>
            </w:r>
            <w:r w:rsidR="00514F52" w:rsidRPr="0076738F">
              <w:rPr>
                <w:b/>
                <w:szCs w:val="14"/>
              </w:rPr>
              <w:t xml:space="preserve"> </w:t>
            </w:r>
            <w:r w:rsidRPr="0076738F">
              <w:rPr>
                <w:b/>
                <w:szCs w:val="14"/>
              </w:rPr>
              <w:t>726</w:t>
            </w:r>
          </w:p>
        </w:tc>
        <w:tc>
          <w:tcPr>
            <w:tcW w:w="1668" w:type="dxa"/>
          </w:tcPr>
          <w:p w14:paraId="769CAEEF" w14:textId="704AA885" w:rsidR="00895C80" w:rsidRPr="0076738F" w:rsidRDefault="001D40FC" w:rsidP="00D52354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 w:rsidRPr="0076738F">
              <w:rPr>
                <w:b/>
                <w:szCs w:val="14"/>
              </w:rPr>
              <w:t>1</w:t>
            </w:r>
            <w:r w:rsidR="00514F52" w:rsidRPr="0076738F">
              <w:rPr>
                <w:b/>
                <w:szCs w:val="14"/>
              </w:rPr>
              <w:t> </w:t>
            </w:r>
            <w:r w:rsidR="00F04BBF">
              <w:rPr>
                <w:b/>
                <w:szCs w:val="14"/>
              </w:rPr>
              <w:t>5</w:t>
            </w:r>
            <w:r w:rsidR="00A04628">
              <w:rPr>
                <w:b/>
                <w:szCs w:val="14"/>
              </w:rPr>
              <w:t>60</w:t>
            </w:r>
            <w:r w:rsidR="00514F52" w:rsidRPr="0076738F">
              <w:rPr>
                <w:b/>
                <w:szCs w:val="14"/>
              </w:rPr>
              <w:t xml:space="preserve"> </w:t>
            </w:r>
            <w:r w:rsidR="00A04628">
              <w:rPr>
                <w:b/>
                <w:szCs w:val="14"/>
              </w:rPr>
              <w:t>665</w:t>
            </w:r>
          </w:p>
        </w:tc>
      </w:tr>
    </w:tbl>
    <w:p w14:paraId="67F1FCCF" w14:textId="2684A2A9" w:rsidR="00895C80" w:rsidRPr="00F07E47" w:rsidRDefault="00895C80" w:rsidP="00895C80">
      <w:r w:rsidRPr="000D11F9">
        <w:t>Navyšování nájmů po dobu hodnocení se</w:t>
      </w:r>
      <w:r>
        <w:t xml:space="preserve"> u všech variant</w:t>
      </w:r>
      <w:r w:rsidRPr="000D11F9">
        <w:t xml:space="preserve"> předpokládá ve výši 5</w:t>
      </w:r>
      <w:r w:rsidR="00253FA0">
        <w:t xml:space="preserve"> </w:t>
      </w:r>
      <w:r w:rsidRPr="000D11F9">
        <w:t xml:space="preserve">% každých </w:t>
      </w:r>
      <w:r>
        <w:br/>
      </w:r>
      <w:r w:rsidRPr="000D11F9">
        <w:t>5 let.</w:t>
      </w:r>
    </w:p>
    <w:p w14:paraId="605F24EE" w14:textId="6B475149" w:rsidR="00895C80" w:rsidRPr="00895C80" w:rsidRDefault="00895C80" w:rsidP="00184319">
      <w:r w:rsidRPr="00C977D7">
        <w:t>V projektov</w:t>
      </w:r>
      <w:r w:rsidR="00FF7749">
        <w:t>é</w:t>
      </w:r>
      <w:r w:rsidRPr="00C977D7">
        <w:t xml:space="preserve"> variant</w:t>
      </w:r>
      <w:r w:rsidR="00FF7749">
        <w:t>ě</w:t>
      </w:r>
      <w:r>
        <w:t xml:space="preserve"> </w:t>
      </w:r>
      <w:r w:rsidR="00FF7749">
        <w:t xml:space="preserve">se </w:t>
      </w:r>
      <w:r>
        <w:t>předpokládá</w:t>
      </w:r>
      <w:r w:rsidRPr="00C977D7">
        <w:t xml:space="preserve"> po dobu realizace stavby </w:t>
      </w:r>
      <w:r w:rsidRPr="009A3391">
        <w:t>v letech 202</w:t>
      </w:r>
      <w:r w:rsidR="00FF7749" w:rsidRPr="009A3391">
        <w:t>6, 2</w:t>
      </w:r>
      <w:r w:rsidRPr="009A3391">
        <w:t>02</w:t>
      </w:r>
      <w:r w:rsidR="00FF7749" w:rsidRPr="009A3391">
        <w:t xml:space="preserve">7 a 2028 </w:t>
      </w:r>
      <w:r w:rsidRPr="009A3391">
        <w:t>výše příjmů z</w:t>
      </w:r>
      <w:r w:rsidR="00FF7749" w:rsidRPr="009A3391">
        <w:t> </w:t>
      </w:r>
      <w:r w:rsidRPr="009A3391">
        <w:t>pronájmů</w:t>
      </w:r>
      <w:r w:rsidR="00FF7749" w:rsidRPr="009A3391">
        <w:t xml:space="preserve"> </w:t>
      </w:r>
      <w:r w:rsidR="009A3391" w:rsidRPr="009A3391">
        <w:t>ve výši</w:t>
      </w:r>
      <w:r w:rsidRPr="009A3391">
        <w:t xml:space="preserve"> </w:t>
      </w:r>
      <w:r w:rsidR="009A3391" w:rsidRPr="009A3391">
        <w:t>55</w:t>
      </w:r>
      <w:r w:rsidR="001E0CDA">
        <w:t>3</w:t>
      </w:r>
      <w:r w:rsidR="00514F52">
        <w:t xml:space="preserve"> </w:t>
      </w:r>
      <w:r w:rsidR="001E0CDA">
        <w:t>582</w:t>
      </w:r>
      <w:r w:rsidRPr="009A3391">
        <w:t xml:space="preserve"> Kč.</w:t>
      </w:r>
      <w:r w:rsidR="009A3391" w:rsidRPr="009A3391">
        <w:t xml:space="preserve"> Tato částka odpovídá příjmům za části objektu, které budou v provozu i během rekonstrukce výpravní budovy.</w:t>
      </w:r>
    </w:p>
    <w:p w14:paraId="37E007AF" w14:textId="70168644" w:rsidR="0042194D" w:rsidRDefault="0042194D" w:rsidP="002A63A6">
      <w:pPr>
        <w:pStyle w:val="Nadpis3"/>
      </w:pPr>
      <w:bookmarkStart w:id="46" w:name="_Toc148597877"/>
      <w:r>
        <w:t xml:space="preserve">Zůstatková hodnota </w:t>
      </w:r>
      <w:r w:rsidR="00E3630C">
        <w:t xml:space="preserve">finanční </w:t>
      </w:r>
      <w:r w:rsidR="0019187B">
        <w:t>a</w:t>
      </w:r>
      <w:r w:rsidR="00E3630C">
        <w:t>nalýzy</w:t>
      </w:r>
      <w:bookmarkEnd w:id="46"/>
    </w:p>
    <w:p w14:paraId="753676E9" w14:textId="740673C4" w:rsidR="009C6827" w:rsidRDefault="00EE5311">
      <w:r>
        <w:t xml:space="preserve">Zůstatková </w:t>
      </w:r>
      <w:r w:rsidR="00D9202A" w:rsidRPr="002127AA">
        <w:t>hodnota byla určena jako čistá současná hodnota peněžních toků ve zbývajících letech životnosti zařízení. Tyto peněžní toky jsou uvažovány jako konstantní a byly stanoveny na základě průměrného peněžního toku během provozní fáz</w:t>
      </w:r>
      <w:r w:rsidR="00D9202A" w:rsidRPr="000F215C">
        <w:t xml:space="preserve">e hodnoticího období. </w:t>
      </w:r>
      <w:r w:rsidR="0042194D" w:rsidRPr="000F215C">
        <w:t xml:space="preserve">Vzhledem </w:t>
      </w:r>
      <w:r w:rsidR="0042194D" w:rsidRPr="000F215C">
        <w:lastRenderedPageBreak/>
        <w:t>k tomu, že průměrn</w:t>
      </w:r>
      <w:r w:rsidR="004F5ECB" w:rsidRPr="000F215C">
        <w:t>ý nákladový peněžní tok je záporný</w:t>
      </w:r>
      <w:r w:rsidR="0042194D" w:rsidRPr="000F215C">
        <w:t>, zůstatková hodnota, která vyjadřuje zbytkový potenciál hodnocené infrastruktury, je nulová.</w:t>
      </w:r>
    </w:p>
    <w:p w14:paraId="71A4AF02" w14:textId="58C66EDA" w:rsidR="008E5D68" w:rsidRDefault="008E5D68" w:rsidP="008E5D68">
      <w:pPr>
        <w:pStyle w:val="Titulek"/>
        <w:keepNext/>
      </w:pPr>
      <w:bookmarkStart w:id="47" w:name="_Toc148597852"/>
      <w:r>
        <w:t xml:space="preserve">Tabulka </w:t>
      </w:r>
      <w:fldSimple w:instr=" SEQ Tabulka \* ARABIC ">
        <w:r w:rsidR="00C16554">
          <w:rPr>
            <w:noProof/>
          </w:rPr>
          <w:t>7</w:t>
        </w:r>
      </w:fldSimple>
      <w:r>
        <w:t xml:space="preserve">: </w:t>
      </w:r>
      <w:r w:rsidRPr="00324DE0">
        <w:t>Zůstatková hodnota ve finanční analýze</w:t>
      </w:r>
      <w:bookmarkEnd w:id="47"/>
    </w:p>
    <w:tbl>
      <w:tblPr>
        <w:tblStyle w:val="Mkatabulky"/>
        <w:tblW w:w="5000" w:type="pct"/>
        <w:tblLook w:val="04E0" w:firstRow="1" w:lastRow="1" w:firstColumn="1" w:lastColumn="0" w:noHBand="0" w:noVBand="1"/>
      </w:tblPr>
      <w:tblGrid>
        <w:gridCol w:w="4337"/>
        <w:gridCol w:w="4337"/>
      </w:tblGrid>
      <w:tr w:rsidR="0042194D" w:rsidRPr="00053AC5" w14:paraId="1C7F2D68" w14:textId="77777777" w:rsidTr="004219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</w:tcPr>
          <w:p w14:paraId="1DFA0ADB" w14:textId="77777777" w:rsidR="0042194D" w:rsidRPr="00053AC5" w:rsidRDefault="0042194D" w:rsidP="0042194D">
            <w:pPr>
              <w:jc w:val="center"/>
              <w:rPr>
                <w:b/>
                <w:highlight w:val="yellow"/>
              </w:rPr>
            </w:pPr>
            <w:r w:rsidRPr="00D327FF">
              <w:rPr>
                <w:b/>
              </w:rPr>
              <w:t>Výpočet zůstatkové hodnoty pro FA</w:t>
            </w:r>
          </w:p>
        </w:tc>
      </w:tr>
      <w:tr w:rsidR="008B0079" w:rsidRPr="008A365E" w14:paraId="6BE9A802" w14:textId="77777777" w:rsidTr="00CD02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55FDAAF3" w14:textId="77777777" w:rsidR="008B0079" w:rsidRPr="008A365E" w:rsidRDefault="008B0079" w:rsidP="008B0079">
            <w:r w:rsidRPr="008A365E">
              <w:t>Celková životnost investice (let)</w:t>
            </w:r>
          </w:p>
        </w:tc>
        <w:tc>
          <w:tcPr>
            <w:tcW w:w="2500" w:type="pct"/>
          </w:tcPr>
          <w:p w14:paraId="7F9400A5" w14:textId="04830ED9" w:rsidR="008B0079" w:rsidRPr="008A365E" w:rsidRDefault="008B0079" w:rsidP="008B00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38</w:t>
            </w:r>
          </w:p>
        </w:tc>
      </w:tr>
      <w:tr w:rsidR="008B0079" w:rsidRPr="008A365E" w14:paraId="03CF3F18" w14:textId="77777777" w:rsidTr="00CD02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7DDF4E7B" w14:textId="312357E2" w:rsidR="008B0079" w:rsidRPr="008A365E" w:rsidRDefault="008B0079" w:rsidP="008B0079">
            <w:r w:rsidRPr="008A365E">
              <w:t>Délka provozní fáze hodnoticího období (let)</w:t>
            </w:r>
          </w:p>
        </w:tc>
        <w:tc>
          <w:tcPr>
            <w:tcW w:w="2500" w:type="pct"/>
          </w:tcPr>
          <w:p w14:paraId="7AD2CB54" w14:textId="6CE45775" w:rsidR="008B0079" w:rsidRPr="008A365E" w:rsidRDefault="008B0079" w:rsidP="008B00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27</w:t>
            </w:r>
          </w:p>
        </w:tc>
      </w:tr>
      <w:tr w:rsidR="008B0079" w:rsidRPr="008A365E" w14:paraId="351974DA" w14:textId="77777777" w:rsidTr="00CD02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40B42CA6" w14:textId="7DCF8E41" w:rsidR="008B0079" w:rsidRPr="008A365E" w:rsidRDefault="008B0079" w:rsidP="008B0079">
            <w:r w:rsidRPr="008A365E">
              <w:t>Životnost investice po skončení hodnoticího období (let)</w:t>
            </w:r>
          </w:p>
        </w:tc>
        <w:tc>
          <w:tcPr>
            <w:tcW w:w="2500" w:type="pct"/>
          </w:tcPr>
          <w:p w14:paraId="5B21A73B" w14:textId="78F5B3E1" w:rsidR="008B0079" w:rsidRPr="008A365E" w:rsidRDefault="008B0079" w:rsidP="008B00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11</w:t>
            </w:r>
          </w:p>
        </w:tc>
      </w:tr>
      <w:tr w:rsidR="008B0079" w:rsidRPr="00D93806" w14:paraId="3F3B7B7A" w14:textId="77777777" w:rsidTr="00CD02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2CA490AF" w14:textId="77777777" w:rsidR="008B0079" w:rsidRPr="00D93806" w:rsidRDefault="008B0079" w:rsidP="008B0079">
            <w:r w:rsidRPr="00D93806">
              <w:t>Průměrný nákladový peněžní tok (nediskontovaný) (Kč)</w:t>
            </w:r>
          </w:p>
        </w:tc>
        <w:tc>
          <w:tcPr>
            <w:tcW w:w="2500" w:type="pct"/>
          </w:tcPr>
          <w:p w14:paraId="404F59F9" w14:textId="0B2A2EF5" w:rsidR="008B0079" w:rsidRPr="00D93806" w:rsidRDefault="008B0079" w:rsidP="008B00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-</w:t>
            </w:r>
            <w:r w:rsidR="0065090A" w:rsidRPr="00D93806">
              <w:t>5</w:t>
            </w:r>
            <w:r w:rsidRPr="00D93806">
              <w:t xml:space="preserve"> </w:t>
            </w:r>
            <w:r w:rsidR="0065090A" w:rsidRPr="00D93806">
              <w:t>152</w:t>
            </w:r>
            <w:r w:rsidRPr="00D93806">
              <w:t xml:space="preserve"> </w:t>
            </w:r>
            <w:r w:rsidR="0065090A" w:rsidRPr="00D93806">
              <w:t>630</w:t>
            </w:r>
          </w:p>
        </w:tc>
      </w:tr>
      <w:tr w:rsidR="00292C8A" w:rsidRPr="00D93806" w14:paraId="613A1DBE" w14:textId="77777777" w:rsidTr="00CD027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67FCBEE0" w14:textId="77777777" w:rsidR="00292C8A" w:rsidRPr="00D93806" w:rsidRDefault="00292C8A" w:rsidP="00292C8A">
            <w:r w:rsidRPr="00D93806">
              <w:t>ZŮSTATKOVÁ HODNOTA (Kč)</w:t>
            </w:r>
          </w:p>
        </w:tc>
        <w:tc>
          <w:tcPr>
            <w:tcW w:w="2500" w:type="pct"/>
          </w:tcPr>
          <w:p w14:paraId="6633831F" w14:textId="4FB81A77" w:rsidR="00292C8A" w:rsidRPr="00D93806" w:rsidRDefault="00292C8A" w:rsidP="00292C8A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0</w:t>
            </w:r>
          </w:p>
        </w:tc>
      </w:tr>
    </w:tbl>
    <w:p w14:paraId="7E354A22" w14:textId="339B2628" w:rsidR="0042194D" w:rsidRPr="00D93806" w:rsidRDefault="0042194D" w:rsidP="002A63A6">
      <w:pPr>
        <w:pStyle w:val="Nadpis3"/>
      </w:pPr>
      <w:bookmarkStart w:id="48" w:name="_Toc148597878"/>
      <w:r w:rsidRPr="00D93806">
        <w:t>Výsledné ukazatele finanč</w:t>
      </w:r>
      <w:r w:rsidR="00184319" w:rsidRPr="00D93806">
        <w:t>ní analýzy</w:t>
      </w:r>
      <w:bookmarkEnd w:id="48"/>
    </w:p>
    <w:p w14:paraId="2DB64E0B" w14:textId="206401AE" w:rsidR="0042194D" w:rsidRPr="00D93806" w:rsidRDefault="0042194D" w:rsidP="0042194D">
      <w:r w:rsidRPr="00D93806">
        <w:t>Na základě výše uvedených vstupních hodnot byla sestavena finanční analýza, jejíž výsledky prezentuje</w:t>
      </w:r>
      <w:r w:rsidR="00B810D7" w:rsidRPr="00D93806">
        <w:t xml:space="preserve"> </w:t>
      </w:r>
      <w:r w:rsidR="00B810D7" w:rsidRPr="00D93806">
        <w:fldChar w:fldCharType="begin"/>
      </w:r>
      <w:r w:rsidR="00B810D7" w:rsidRPr="00D93806">
        <w:instrText xml:space="preserve"> REF _Ref63767167 \h </w:instrText>
      </w:r>
      <w:r w:rsidR="00053AC5" w:rsidRPr="00D93806">
        <w:instrText xml:space="preserve"> \* MERGEFORMAT </w:instrText>
      </w:r>
      <w:r w:rsidR="00B810D7" w:rsidRPr="00D93806">
        <w:fldChar w:fldCharType="separate"/>
      </w:r>
      <w:r w:rsidR="00C16554" w:rsidRPr="00D93806">
        <w:t xml:space="preserve">Tabulka </w:t>
      </w:r>
      <w:r w:rsidR="00C16554">
        <w:rPr>
          <w:noProof/>
        </w:rPr>
        <w:t>8</w:t>
      </w:r>
      <w:r w:rsidR="00B810D7" w:rsidRPr="00D93806">
        <w:fldChar w:fldCharType="end"/>
      </w:r>
      <w:r w:rsidRPr="00D93806">
        <w:t>. Podrobné výpočty jsou uvedeny v CBA tabul</w:t>
      </w:r>
      <w:r w:rsidR="00C94986" w:rsidRPr="00D93806">
        <w:t>ce</w:t>
      </w:r>
      <w:r w:rsidRPr="00D93806">
        <w:t>.</w:t>
      </w:r>
    </w:p>
    <w:p w14:paraId="43FA9FB6" w14:textId="6675ADC8" w:rsidR="0042194D" w:rsidRPr="00D93806" w:rsidRDefault="0042194D" w:rsidP="0042194D">
      <w:pPr>
        <w:pStyle w:val="Titulek"/>
        <w:keepNext/>
      </w:pPr>
      <w:bookmarkStart w:id="49" w:name="_Ref63767167"/>
      <w:bookmarkStart w:id="50" w:name="_Ref63767151"/>
      <w:bookmarkStart w:id="51" w:name="_Toc148597853"/>
      <w:r w:rsidRPr="00D93806">
        <w:t xml:space="preserve">Tabulka </w:t>
      </w:r>
      <w:fldSimple w:instr=" SEQ Tabulka \* ARABIC ">
        <w:r w:rsidR="00C16554">
          <w:rPr>
            <w:noProof/>
          </w:rPr>
          <w:t>8</w:t>
        </w:r>
      </w:fldSimple>
      <w:bookmarkEnd w:id="49"/>
      <w:r w:rsidRPr="00D93806">
        <w:t>: Výsledné ukazatele finanční analýzy</w:t>
      </w:r>
      <w:bookmarkEnd w:id="50"/>
      <w:bookmarkEnd w:id="51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97"/>
        <w:gridCol w:w="1532"/>
        <w:gridCol w:w="3445"/>
      </w:tblGrid>
      <w:tr w:rsidR="0042194D" w:rsidRPr="00D93806" w14:paraId="2D87E46F" w14:textId="77777777" w:rsidTr="004219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1" w:type="pct"/>
          </w:tcPr>
          <w:p w14:paraId="00CDEB47" w14:textId="77777777" w:rsidR="0042194D" w:rsidRPr="00D93806" w:rsidRDefault="0042194D" w:rsidP="0042194D">
            <w:pPr>
              <w:tabs>
                <w:tab w:val="left" w:pos="1046"/>
              </w:tabs>
              <w:rPr>
                <w:b/>
              </w:rPr>
            </w:pPr>
            <w:r w:rsidRPr="00D93806">
              <w:rPr>
                <w:b/>
              </w:rPr>
              <w:t>Ukazatel</w:t>
            </w:r>
          </w:p>
        </w:tc>
        <w:tc>
          <w:tcPr>
            <w:tcW w:w="883" w:type="pct"/>
          </w:tcPr>
          <w:p w14:paraId="76C7B451" w14:textId="77777777" w:rsidR="0042194D" w:rsidRPr="00D93806" w:rsidRDefault="0042194D" w:rsidP="004219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Zkratka</w:t>
            </w:r>
          </w:p>
        </w:tc>
        <w:tc>
          <w:tcPr>
            <w:tcW w:w="1986" w:type="pct"/>
          </w:tcPr>
          <w:p w14:paraId="665D8A1A" w14:textId="77777777" w:rsidR="0042194D" w:rsidRPr="00D93806" w:rsidRDefault="0042194D" w:rsidP="004219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Hodnota</w:t>
            </w:r>
          </w:p>
        </w:tc>
      </w:tr>
      <w:tr w:rsidR="0042194D" w:rsidRPr="00D93806" w14:paraId="33EAEFCC" w14:textId="77777777" w:rsidTr="004219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1" w:type="pct"/>
          </w:tcPr>
          <w:p w14:paraId="515339C2" w14:textId="77777777" w:rsidR="0042194D" w:rsidRPr="00D93806" w:rsidRDefault="0042194D" w:rsidP="0042194D">
            <w:r w:rsidRPr="00D93806">
              <w:t>Finanční vnitřní výnosové procento</w:t>
            </w:r>
          </w:p>
        </w:tc>
        <w:tc>
          <w:tcPr>
            <w:tcW w:w="883" w:type="pct"/>
          </w:tcPr>
          <w:p w14:paraId="00DBB39A" w14:textId="77777777" w:rsidR="0042194D" w:rsidRPr="00D93806" w:rsidRDefault="0042194D" w:rsidP="004219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FRR</w:t>
            </w:r>
          </w:p>
        </w:tc>
        <w:tc>
          <w:tcPr>
            <w:tcW w:w="1986" w:type="pct"/>
          </w:tcPr>
          <w:p w14:paraId="0785D28C" w14:textId="77777777" w:rsidR="0042194D" w:rsidRPr="00D93806" w:rsidRDefault="00B810D7" w:rsidP="004219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---</w:t>
            </w:r>
          </w:p>
        </w:tc>
      </w:tr>
      <w:tr w:rsidR="0042194D" w:rsidRPr="00D93806" w14:paraId="197745E8" w14:textId="77777777" w:rsidTr="004219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31" w:type="pct"/>
          </w:tcPr>
          <w:p w14:paraId="56FE2728" w14:textId="77777777" w:rsidR="0042194D" w:rsidRPr="00D93806" w:rsidRDefault="0042194D" w:rsidP="0042194D">
            <w:r w:rsidRPr="00D93806">
              <w:t>Finanční čistá současná hodnota</w:t>
            </w:r>
          </w:p>
        </w:tc>
        <w:tc>
          <w:tcPr>
            <w:tcW w:w="883" w:type="pct"/>
          </w:tcPr>
          <w:p w14:paraId="6F311B02" w14:textId="77777777" w:rsidR="0042194D" w:rsidRPr="00D93806" w:rsidRDefault="0042194D" w:rsidP="004219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FNPV</w:t>
            </w:r>
          </w:p>
        </w:tc>
        <w:tc>
          <w:tcPr>
            <w:tcW w:w="1986" w:type="pct"/>
          </w:tcPr>
          <w:p w14:paraId="49E60C6B" w14:textId="0B6841FB" w:rsidR="0042194D" w:rsidRPr="00D93806" w:rsidRDefault="00292C8A" w:rsidP="004219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-</w:t>
            </w:r>
            <w:r w:rsidR="0065090A" w:rsidRPr="00D93806">
              <w:t>573</w:t>
            </w:r>
            <w:r w:rsidRPr="00D93806">
              <w:t xml:space="preserve"> </w:t>
            </w:r>
            <w:r w:rsidR="0065090A" w:rsidRPr="00D93806">
              <w:t>549</w:t>
            </w:r>
            <w:r w:rsidRPr="00D93806">
              <w:t> </w:t>
            </w:r>
            <w:r w:rsidR="0065090A" w:rsidRPr="00D93806">
              <w:t>405</w:t>
            </w:r>
            <w:r w:rsidRPr="00D93806">
              <w:t xml:space="preserve"> </w:t>
            </w:r>
            <w:r w:rsidR="00CE0DCD" w:rsidRPr="00D93806">
              <w:t>Kč</w:t>
            </w:r>
          </w:p>
        </w:tc>
      </w:tr>
    </w:tbl>
    <w:p w14:paraId="0FF2DD47" w14:textId="77630AFD" w:rsidR="0042194D" w:rsidRPr="00D93806" w:rsidRDefault="0042194D" w:rsidP="002A63A6">
      <w:pPr>
        <w:pStyle w:val="Nadpis2"/>
      </w:pPr>
      <w:bookmarkStart w:id="52" w:name="_Toc148597879"/>
      <w:r w:rsidRPr="00D93806">
        <w:t>Ekonomická analýza</w:t>
      </w:r>
      <w:r w:rsidR="00053AC5" w:rsidRPr="00D93806">
        <w:t xml:space="preserve"> </w:t>
      </w:r>
      <w:r w:rsidR="00EA101D" w:rsidRPr="00D93806">
        <w:t xml:space="preserve">- </w:t>
      </w:r>
      <w:r w:rsidR="00053AC5" w:rsidRPr="00D93806">
        <w:t>MKA</w:t>
      </w:r>
      <w:bookmarkEnd w:id="52"/>
    </w:p>
    <w:p w14:paraId="70092375" w14:textId="39F1D2E3" w:rsidR="00D370E7" w:rsidRPr="00D93806" w:rsidRDefault="00053AC5" w:rsidP="0019187B">
      <w:r w:rsidRPr="00D93806">
        <w:t xml:space="preserve">MKA je zpracována </w:t>
      </w:r>
      <w:r w:rsidR="00EA101D" w:rsidRPr="00D93806">
        <w:t xml:space="preserve">v souladu s Rezortní metodikou, </w:t>
      </w:r>
      <w:r w:rsidR="00562B52" w:rsidRPr="00D93806">
        <w:t>P</w:t>
      </w:r>
      <w:r w:rsidR="00EA101D" w:rsidRPr="00D93806">
        <w:t xml:space="preserve">řílohou </w:t>
      </w:r>
      <w:r w:rsidR="00562B52" w:rsidRPr="00D93806">
        <w:t xml:space="preserve">č. </w:t>
      </w:r>
      <w:r w:rsidR="00EA101D" w:rsidRPr="00D93806">
        <w:t>3 „</w:t>
      </w:r>
      <w:r w:rsidRPr="00D93806">
        <w:t xml:space="preserve">Obecná metodika multikriteriální analýzy pro hodnocení efektivnosti projektů staveb a zařízení pro pohyb </w:t>
      </w:r>
      <w:r w:rsidR="00BC00AA" w:rsidRPr="00D93806">
        <w:br/>
      </w:r>
      <w:r w:rsidRPr="00D93806">
        <w:t>a čekání cestujících v rámci železničních stanic a železničních zastávek</w:t>
      </w:r>
      <w:r w:rsidR="00EA101D" w:rsidRPr="00D93806">
        <w:t>“</w:t>
      </w:r>
      <w:r w:rsidR="00490C11" w:rsidRPr="00D93806">
        <w:t>.</w:t>
      </w:r>
      <w:r w:rsidRPr="00D93806">
        <w:t xml:space="preserve"> Dle uvedené metodiky lze MKA použít konkrétně pro</w:t>
      </w:r>
      <w:r w:rsidR="00312417" w:rsidRPr="00D93806">
        <w:t xml:space="preserve"> rekonstrukci nástupišť a</w:t>
      </w:r>
      <w:r w:rsidR="000B5A4C" w:rsidRPr="00D93806">
        <w:t> </w:t>
      </w:r>
      <w:r w:rsidR="00312417" w:rsidRPr="00D93806">
        <w:t xml:space="preserve">přístupových komunikací na nástupiště, přístřešků a informačního systému. Hodnocení MKA sestává z vylučovacích kritérií a bodového hodnocení. Vylučovací pravidlo je splněno, když započitatelné stavební náklady na objekty pro cestující </w:t>
      </w:r>
      <w:r w:rsidR="00D52354" w:rsidRPr="00D93806">
        <w:t>činí</w:t>
      </w:r>
      <w:r w:rsidR="00312417" w:rsidRPr="00D93806">
        <w:t xml:space="preserve"> více než 75 % stavebních nákladů na všechny objekty a dále je potřeba získat alespoň jeden bod z každého přínosu příslušného druhu stavby či zařízení</w:t>
      </w:r>
      <w:r w:rsidR="00BE081B" w:rsidRPr="00D93806">
        <w:t>.</w:t>
      </w:r>
      <w:r w:rsidR="00D370E7" w:rsidRPr="00D93806">
        <w:t xml:space="preserve"> </w:t>
      </w:r>
      <w:r w:rsidRPr="00D93806">
        <w:t>Jelikož hodnocený projekt jasně splňuje uveden</w:t>
      </w:r>
      <w:r w:rsidR="00D370E7" w:rsidRPr="00D93806">
        <w:t>é</w:t>
      </w:r>
      <w:r w:rsidRPr="00D93806">
        <w:t xml:space="preserve"> požadav</w:t>
      </w:r>
      <w:r w:rsidR="00D370E7" w:rsidRPr="00D93806">
        <w:t>ky,</w:t>
      </w:r>
      <w:r w:rsidRPr="00D93806">
        <w:t xml:space="preserve"> je pro tento projekt multikriteriální analýza aplikovatelná. </w:t>
      </w:r>
      <w:r w:rsidR="00D370E7" w:rsidRPr="00D93806">
        <w:t>P</w:t>
      </w:r>
      <w:r w:rsidRPr="00D93806">
        <w:t>oměr</w:t>
      </w:r>
      <w:r w:rsidR="00D370E7" w:rsidRPr="00D93806">
        <w:t xml:space="preserve"> započitatelných nákladů</w:t>
      </w:r>
      <w:r w:rsidRPr="00D93806">
        <w:t xml:space="preserve"> je </w:t>
      </w:r>
      <w:r w:rsidR="00514F52" w:rsidRPr="00D93806">
        <w:t>7</w:t>
      </w:r>
      <w:r w:rsidR="009617BB" w:rsidRPr="00D93806">
        <w:t>5</w:t>
      </w:r>
      <w:r w:rsidR="00490C11" w:rsidRPr="00D93806">
        <w:t>,</w:t>
      </w:r>
      <w:r w:rsidR="009617BB" w:rsidRPr="00D93806">
        <w:t>87</w:t>
      </w:r>
      <w:r w:rsidR="00D370E7" w:rsidRPr="00D93806">
        <w:t xml:space="preserve"> </w:t>
      </w:r>
      <w:r w:rsidRPr="00D93806">
        <w:t xml:space="preserve">% </w:t>
      </w:r>
      <w:r w:rsidR="00D370E7" w:rsidRPr="00D93806">
        <w:t>a</w:t>
      </w:r>
      <w:r w:rsidR="000B5A4C" w:rsidRPr="00D93806">
        <w:t> </w:t>
      </w:r>
      <w:r w:rsidR="00D370E7" w:rsidRPr="00D93806">
        <w:t>nezapočitatelných nákladů</w:t>
      </w:r>
      <w:r w:rsidRPr="00D93806">
        <w:t xml:space="preserve"> 2</w:t>
      </w:r>
      <w:r w:rsidR="00CE0DCD" w:rsidRPr="00D93806">
        <w:t>4</w:t>
      </w:r>
      <w:r w:rsidR="00490C11" w:rsidRPr="00D93806">
        <w:t>,</w:t>
      </w:r>
      <w:r w:rsidR="009617BB" w:rsidRPr="00D93806">
        <w:t>13</w:t>
      </w:r>
      <w:r w:rsidR="000B5A4C" w:rsidRPr="00D93806">
        <w:t> </w:t>
      </w:r>
      <w:r w:rsidRPr="00D93806">
        <w:t>%</w:t>
      </w:r>
      <w:r w:rsidR="007A10B6" w:rsidRPr="00D93806">
        <w:t>, viz též příloha H (SPOŽES)</w:t>
      </w:r>
      <w:r w:rsidRPr="00D93806">
        <w:t>.</w:t>
      </w:r>
      <w:r w:rsidR="00FD54C0" w:rsidRPr="00D93806">
        <w:t xml:space="preserve"> </w:t>
      </w:r>
    </w:p>
    <w:p w14:paraId="5ABABB08" w14:textId="6D4D01C2" w:rsidR="008E5D68" w:rsidRPr="005C5618" w:rsidRDefault="008E5D68" w:rsidP="008E5D68">
      <w:pPr>
        <w:pStyle w:val="Titulek"/>
        <w:keepNext/>
      </w:pPr>
      <w:bookmarkStart w:id="53" w:name="_Toc148597854"/>
      <w:r w:rsidRPr="00D93806">
        <w:t xml:space="preserve">Tabulka </w:t>
      </w:r>
      <w:fldSimple w:instr=" SEQ Tabulka \* ARABIC ">
        <w:r w:rsidR="00C16554">
          <w:rPr>
            <w:noProof/>
          </w:rPr>
          <w:t>9</w:t>
        </w:r>
      </w:fldSimple>
      <w:r w:rsidRPr="00D93806">
        <w:t>: Podíl započitatelných nákladů</w:t>
      </w:r>
      <w:bookmarkEnd w:id="5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9"/>
        <w:gridCol w:w="2694"/>
        <w:gridCol w:w="2011"/>
      </w:tblGrid>
      <w:tr w:rsidR="00242AFE" w:rsidRPr="005C5618" w14:paraId="76A0E63E" w14:textId="77777777" w:rsidTr="00242A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0257C133" w14:textId="45699738" w:rsidR="00242AFE" w:rsidRPr="005C5618" w:rsidRDefault="00242AFE" w:rsidP="0019187B">
            <w:pPr>
              <w:rPr>
                <w:b/>
              </w:rPr>
            </w:pPr>
            <w:r w:rsidRPr="005C5618">
              <w:rPr>
                <w:b/>
              </w:rPr>
              <w:t>Stavební náklady dle charakteru stavby:</w:t>
            </w:r>
          </w:p>
        </w:tc>
        <w:tc>
          <w:tcPr>
            <w:tcW w:w="2694" w:type="dxa"/>
          </w:tcPr>
          <w:p w14:paraId="075C29F8" w14:textId="0CFB64D7" w:rsidR="00242AFE" w:rsidRPr="005C5618" w:rsidRDefault="00514F52" w:rsidP="00D523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C5618">
              <w:rPr>
                <w:b/>
              </w:rPr>
              <w:t>N</w:t>
            </w:r>
            <w:r w:rsidR="00242AFE" w:rsidRPr="005C5618">
              <w:rPr>
                <w:b/>
              </w:rPr>
              <w:t>áklady objekt</w:t>
            </w:r>
            <w:r w:rsidRPr="005C5618">
              <w:rPr>
                <w:b/>
              </w:rPr>
              <w:t>ů</w:t>
            </w:r>
          </w:p>
          <w:p w14:paraId="7B9B85C9" w14:textId="435E43C2" w:rsidR="00242AFE" w:rsidRPr="005C5618" w:rsidRDefault="00242AFE" w:rsidP="00D523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C5618">
              <w:rPr>
                <w:b/>
              </w:rPr>
              <w:t>(Kč)</w:t>
            </w:r>
          </w:p>
        </w:tc>
        <w:tc>
          <w:tcPr>
            <w:tcW w:w="2011" w:type="dxa"/>
          </w:tcPr>
          <w:p w14:paraId="18685C12" w14:textId="099C9CB4" w:rsidR="00242AFE" w:rsidRPr="005C5618" w:rsidRDefault="00242AFE" w:rsidP="00D5235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C5618">
              <w:rPr>
                <w:b/>
              </w:rPr>
              <w:t>Podíl nákladů</w:t>
            </w:r>
            <w:r w:rsidR="00514F52" w:rsidRPr="005C5618">
              <w:rPr>
                <w:b/>
              </w:rPr>
              <w:t xml:space="preserve"> objektů</w:t>
            </w:r>
          </w:p>
        </w:tc>
      </w:tr>
      <w:tr w:rsidR="00B91643" w:rsidRPr="008A365E" w14:paraId="4E428597" w14:textId="77777777" w:rsidTr="005A7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15ADD236" w14:textId="30AD39F5" w:rsidR="00B91643" w:rsidRPr="008A365E" w:rsidRDefault="00B91643" w:rsidP="00B91643">
            <w:r w:rsidRPr="008A365E">
              <w:t>Nástupiště a přístupové komunikace na nástupiště</w:t>
            </w:r>
          </w:p>
        </w:tc>
        <w:tc>
          <w:tcPr>
            <w:tcW w:w="2694" w:type="dxa"/>
          </w:tcPr>
          <w:p w14:paraId="4866147E" w14:textId="5B2968AF" w:rsidR="00B91643" w:rsidRPr="00D93806" w:rsidRDefault="00B91643" w:rsidP="00B916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284 628 404</w:t>
            </w:r>
          </w:p>
        </w:tc>
        <w:tc>
          <w:tcPr>
            <w:tcW w:w="2011" w:type="dxa"/>
          </w:tcPr>
          <w:p w14:paraId="0F2D0C6E" w14:textId="7926CC84" w:rsidR="00B91643" w:rsidRPr="00D93806" w:rsidRDefault="00B91643" w:rsidP="00B916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47,02 %</w:t>
            </w:r>
          </w:p>
        </w:tc>
      </w:tr>
      <w:tr w:rsidR="00B91643" w:rsidRPr="008A365E" w14:paraId="6BC0965A" w14:textId="77777777" w:rsidTr="005A7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690BE372" w14:textId="57AEE25A" w:rsidR="00B91643" w:rsidRPr="008A365E" w:rsidRDefault="00B91643" w:rsidP="00B91643">
            <w:r w:rsidRPr="008A365E">
              <w:t>Přístřešky</w:t>
            </w:r>
          </w:p>
        </w:tc>
        <w:tc>
          <w:tcPr>
            <w:tcW w:w="2694" w:type="dxa"/>
          </w:tcPr>
          <w:p w14:paraId="08217458" w14:textId="42269064" w:rsidR="00B91643" w:rsidRPr="00D93806" w:rsidRDefault="00B91643" w:rsidP="00B916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122 718 499</w:t>
            </w:r>
          </w:p>
        </w:tc>
        <w:tc>
          <w:tcPr>
            <w:tcW w:w="2011" w:type="dxa"/>
          </w:tcPr>
          <w:p w14:paraId="067904FA" w14:textId="6080DBB0" w:rsidR="00B91643" w:rsidRPr="00D93806" w:rsidRDefault="00B91643" w:rsidP="00B916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20,27 %</w:t>
            </w:r>
          </w:p>
        </w:tc>
      </w:tr>
      <w:tr w:rsidR="00B91643" w:rsidRPr="008A365E" w14:paraId="5DB62B85" w14:textId="77777777" w:rsidTr="005A7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7C3E9D47" w14:textId="37C18F4A" w:rsidR="00B91643" w:rsidRPr="008A365E" w:rsidRDefault="00B91643" w:rsidP="00B91643">
            <w:r w:rsidRPr="008A365E">
              <w:t>Informační systém</w:t>
            </w:r>
          </w:p>
        </w:tc>
        <w:tc>
          <w:tcPr>
            <w:tcW w:w="2694" w:type="dxa"/>
          </w:tcPr>
          <w:p w14:paraId="0924AD4C" w14:textId="701224ED" w:rsidR="00B91643" w:rsidRPr="00D93806" w:rsidRDefault="00B91643" w:rsidP="00B916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51 917 963</w:t>
            </w:r>
          </w:p>
        </w:tc>
        <w:tc>
          <w:tcPr>
            <w:tcW w:w="2011" w:type="dxa"/>
          </w:tcPr>
          <w:p w14:paraId="5F1903DD" w14:textId="212A8653" w:rsidR="00B91643" w:rsidRPr="00D93806" w:rsidRDefault="00B91643" w:rsidP="00B916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8,58 %</w:t>
            </w:r>
          </w:p>
        </w:tc>
      </w:tr>
      <w:tr w:rsidR="00B91643" w:rsidRPr="008A365E" w14:paraId="262B60C0" w14:textId="77777777" w:rsidTr="005A7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30B07F49" w14:textId="4FD9388B" w:rsidR="00B91643" w:rsidRPr="008A365E" w:rsidRDefault="00B91643" w:rsidP="00B91643">
            <w:r w:rsidRPr="008A365E">
              <w:t>Ostatní objekty nezapočitatelné</w:t>
            </w:r>
          </w:p>
        </w:tc>
        <w:tc>
          <w:tcPr>
            <w:tcW w:w="2694" w:type="dxa"/>
          </w:tcPr>
          <w:p w14:paraId="7E0FD18F" w14:textId="77FA6D0A" w:rsidR="00B91643" w:rsidRPr="00D93806" w:rsidRDefault="00B91643" w:rsidP="00B916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146 040 333</w:t>
            </w:r>
          </w:p>
        </w:tc>
        <w:tc>
          <w:tcPr>
            <w:tcW w:w="2011" w:type="dxa"/>
          </w:tcPr>
          <w:p w14:paraId="3FE74413" w14:textId="776FD8D1" w:rsidR="00B91643" w:rsidRPr="00D93806" w:rsidRDefault="00B91643" w:rsidP="00B916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24,13 %</w:t>
            </w:r>
          </w:p>
        </w:tc>
      </w:tr>
      <w:tr w:rsidR="00292C8A" w:rsidRPr="005C5618" w14:paraId="2379B83F" w14:textId="77777777" w:rsidTr="005A75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A1225D3" w14:textId="14C4E1A9" w:rsidR="00292C8A" w:rsidRPr="008A365E" w:rsidRDefault="00292C8A" w:rsidP="00292C8A">
            <w:pPr>
              <w:rPr>
                <w:b/>
              </w:rPr>
            </w:pPr>
            <w:r w:rsidRPr="008A365E">
              <w:rPr>
                <w:b/>
              </w:rPr>
              <w:t>Celkem</w:t>
            </w:r>
          </w:p>
        </w:tc>
        <w:tc>
          <w:tcPr>
            <w:tcW w:w="2694" w:type="dxa"/>
          </w:tcPr>
          <w:p w14:paraId="0541EDFE" w14:textId="153E06AF" w:rsidR="00292C8A" w:rsidRPr="00D93806" w:rsidRDefault="00B91643" w:rsidP="0029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t>605 305 199</w:t>
            </w:r>
          </w:p>
        </w:tc>
        <w:tc>
          <w:tcPr>
            <w:tcW w:w="2011" w:type="dxa"/>
            <w:vAlign w:val="center"/>
          </w:tcPr>
          <w:p w14:paraId="4D53D0AF" w14:textId="4BDB7B55" w:rsidR="00292C8A" w:rsidRPr="00D93806" w:rsidRDefault="00292C8A" w:rsidP="00292C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3806">
              <w:rPr>
                <w:b/>
              </w:rPr>
              <w:t>100 %</w:t>
            </w:r>
          </w:p>
        </w:tc>
      </w:tr>
    </w:tbl>
    <w:p w14:paraId="094A4CE9" w14:textId="77777777" w:rsidR="00242AFE" w:rsidRPr="005C5618" w:rsidRDefault="00242AFE" w:rsidP="0019187B"/>
    <w:p w14:paraId="59022E09" w14:textId="77777777" w:rsidR="00383114" w:rsidRDefault="00053AC5">
      <w:r w:rsidRPr="005C5618">
        <w:t>Multikriteriální hodnocení projektu je provedeno pomocí „Aplikace zjednodušené multikriteriální analýzy pro hodnocení efektivnosti projektů Staveb pro cestující“ ve formátu XLS, která je součástí tohoto hodnocení.</w:t>
      </w:r>
      <w:r w:rsidR="00D370E7" w:rsidRPr="005C5618">
        <w:t xml:space="preserve"> Bodové hodnocení je nutné provést pro každý druh stavby, či zařízení samostatně a následně se výsledný počet bodů určí váženým průměrem podle výše investičních nákladů na jednotlivé druhy staveb, či zařízení. Výsledný počet bodů musí být větší n</w:t>
      </w:r>
      <w:r w:rsidR="00E31E54">
        <w:t>ebo roven</w:t>
      </w:r>
      <w:r w:rsidR="00D370E7" w:rsidRPr="005C5618">
        <w:t xml:space="preserve"> 4,5.</w:t>
      </w:r>
      <w:r w:rsidRPr="005C5618">
        <w:t xml:space="preserve"> Výsledkem hodnocení prostřednictvím této aplikace je závěr, že projekt lze doporučit pro financování, neboť splňuje dostatečný počet bodů (</w:t>
      </w:r>
      <w:r w:rsidR="00490C11">
        <w:t>6,5</w:t>
      </w:r>
      <w:r w:rsidRPr="005C5618">
        <w:t>) z</w:t>
      </w:r>
      <w:r w:rsidRPr="00D370E7">
        <w:t xml:space="preserve"> celkových kritérií pro hodnocení efektivnosti.</w:t>
      </w:r>
    </w:p>
    <w:p w14:paraId="29737AE7" w14:textId="58D96A7B" w:rsidR="009C6827" w:rsidRDefault="00383114">
      <w:r>
        <w:br w:type="page"/>
      </w:r>
    </w:p>
    <w:p w14:paraId="1D87F6DB" w14:textId="01781BBC" w:rsidR="006B2299" w:rsidRPr="0016104F" w:rsidRDefault="00053AC5" w:rsidP="00053AC5">
      <w:pPr>
        <w:pStyle w:val="Nadpis1"/>
      </w:pPr>
      <w:r w:rsidRPr="0016104F"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lastRenderedPageBreak/>
        <w:t xml:space="preserve"> </w:t>
      </w:r>
      <w:bookmarkStart w:id="54" w:name="_Toc148597880"/>
      <w:r w:rsidR="006B2299" w:rsidRPr="0016104F">
        <w:t>Analýza citlivosti</w:t>
      </w:r>
      <w:bookmarkEnd w:id="54"/>
    </w:p>
    <w:p w14:paraId="57C3F583" w14:textId="77777777" w:rsidR="001A0061" w:rsidRDefault="00E049AF" w:rsidP="00E049AF">
      <w:pPr>
        <w:rPr>
          <w:noProof/>
        </w:rPr>
      </w:pPr>
      <w:r w:rsidRPr="0016104F">
        <w:rPr>
          <w:noProof/>
        </w:rPr>
        <w:t>Analýza citlivosti má za úkol určit kritické proměnné (tzn. ty, jejichž změna má nejvýznamnější dopady na ekonomickou efektivitu) a zhodnotit vliv jejich změny na výsledky projektu. Za kritickou proměnnou</w:t>
      </w:r>
      <w:r w:rsidR="00A323DD">
        <w:rPr>
          <w:noProof/>
        </w:rPr>
        <w:t xml:space="preserve"> je </w:t>
      </w:r>
      <w:r w:rsidR="001A0061">
        <w:rPr>
          <w:noProof/>
        </w:rPr>
        <w:t>v tomto případě považován poměr započitatelných a nezapočitatelných  stavebních nákladů z multikriteriální analýzy.</w:t>
      </w:r>
    </w:p>
    <w:p w14:paraId="043DCCF6" w14:textId="439738DA" w:rsidR="004F1812" w:rsidRDefault="001A0061" w:rsidP="00E049AF">
      <w:pPr>
        <w:rPr>
          <w:noProof/>
        </w:rPr>
      </w:pPr>
      <w:r w:rsidRPr="0016104F">
        <w:rPr>
          <w:noProof/>
        </w:rPr>
        <w:t>V případě, že by</w:t>
      </w:r>
      <w:r>
        <w:rPr>
          <w:noProof/>
        </w:rPr>
        <w:t xml:space="preserve"> nezapočitatelné náklady</w:t>
      </w:r>
      <w:r w:rsidRPr="0016104F">
        <w:rPr>
          <w:noProof/>
        </w:rPr>
        <w:t xml:space="preserve"> dosáhl</w:t>
      </w:r>
      <w:r>
        <w:rPr>
          <w:noProof/>
        </w:rPr>
        <w:t xml:space="preserve">y </w:t>
      </w:r>
      <w:r w:rsidRPr="001A0061">
        <w:rPr>
          <w:noProof/>
        </w:rPr>
        <w:t xml:space="preserve">(za předpokladu zachování všech ostatních vstupních hodnot) </w:t>
      </w:r>
      <w:r w:rsidRPr="0016104F">
        <w:rPr>
          <w:noProof/>
        </w:rPr>
        <w:t>hodnot</w:t>
      </w:r>
      <w:r>
        <w:rPr>
          <w:noProof/>
        </w:rPr>
        <w:t>y</w:t>
      </w:r>
      <w:r w:rsidRPr="0016104F">
        <w:rPr>
          <w:noProof/>
        </w:rPr>
        <w:t xml:space="preserve"> 2</w:t>
      </w:r>
      <w:r>
        <w:rPr>
          <w:noProof/>
        </w:rPr>
        <w:t>5</w:t>
      </w:r>
      <w:r w:rsidR="00AD0793">
        <w:rPr>
          <w:noProof/>
        </w:rPr>
        <w:t xml:space="preserve"> </w:t>
      </w:r>
      <w:r w:rsidRPr="0016104F">
        <w:rPr>
          <w:noProof/>
        </w:rPr>
        <w:t>% z celkových stavebních nákladů, nebylo by splněno vylučovací pravidlo a tím by nebyla prokázána ekonomi</w:t>
      </w:r>
      <w:r w:rsidR="004F6ED4">
        <w:rPr>
          <w:noProof/>
        </w:rPr>
        <w:t>cká</w:t>
      </w:r>
      <w:r w:rsidRPr="0016104F">
        <w:rPr>
          <w:noProof/>
        </w:rPr>
        <w:t xml:space="preserve"> efektivnost stavby.</w:t>
      </w:r>
      <w:r>
        <w:rPr>
          <w:noProof/>
        </w:rPr>
        <w:t xml:space="preserve"> K tomu dochází při navýšení cen nezapočitatelných </w:t>
      </w:r>
      <w:r w:rsidRPr="008A365E">
        <w:rPr>
          <w:noProof/>
        </w:rPr>
        <w:t xml:space="preserve">nákladů </w:t>
      </w:r>
      <w:r w:rsidRPr="00D93806">
        <w:rPr>
          <w:noProof/>
        </w:rPr>
        <w:t xml:space="preserve">o </w:t>
      </w:r>
      <w:r w:rsidR="009617BB" w:rsidRPr="00D93806">
        <w:rPr>
          <w:noProof/>
        </w:rPr>
        <w:t>4,80</w:t>
      </w:r>
      <w:r w:rsidRPr="00D93806">
        <w:rPr>
          <w:noProof/>
        </w:rPr>
        <w:t xml:space="preserve"> %, tj. </w:t>
      </w:r>
      <w:r w:rsidR="00AD0793" w:rsidRPr="00D93806">
        <w:rPr>
          <w:noProof/>
        </w:rPr>
        <w:t xml:space="preserve">o </w:t>
      </w:r>
      <w:r w:rsidR="009617BB" w:rsidRPr="00D93806">
        <w:rPr>
          <w:noProof/>
        </w:rPr>
        <w:t>7,01</w:t>
      </w:r>
      <w:r w:rsidRPr="00D93806">
        <w:rPr>
          <w:noProof/>
        </w:rPr>
        <w:t xml:space="preserve"> mil. Kč</w:t>
      </w:r>
      <w:r w:rsidR="00C02D98" w:rsidRPr="00D93806">
        <w:rPr>
          <w:noProof/>
        </w:rPr>
        <w:t xml:space="preserve">, nebo při snížení započitatelných nákladů o </w:t>
      </w:r>
      <w:r w:rsidR="009617BB" w:rsidRPr="00D93806">
        <w:rPr>
          <w:noProof/>
        </w:rPr>
        <w:t>4,58</w:t>
      </w:r>
      <w:r w:rsidR="00C02D98" w:rsidRPr="00D93806">
        <w:rPr>
          <w:noProof/>
        </w:rPr>
        <w:t xml:space="preserve"> %, tj. o </w:t>
      </w:r>
      <w:r w:rsidR="009617BB" w:rsidRPr="00D93806">
        <w:rPr>
          <w:noProof/>
        </w:rPr>
        <w:t>21,03</w:t>
      </w:r>
      <w:r w:rsidR="00C02D98" w:rsidRPr="00D93806">
        <w:rPr>
          <w:noProof/>
        </w:rPr>
        <w:t xml:space="preserve"> mil. Kč</w:t>
      </w:r>
      <w:r w:rsidR="00C02D98">
        <w:rPr>
          <w:noProof/>
        </w:rPr>
        <w:t xml:space="preserve"> </w:t>
      </w:r>
      <w:r>
        <w:rPr>
          <w:noProof/>
        </w:rPr>
        <w:t>v CÚ 2023</w:t>
      </w:r>
      <w:r w:rsidR="00C02D98">
        <w:rPr>
          <w:noProof/>
        </w:rPr>
        <w:t>.</w:t>
      </w:r>
    </w:p>
    <w:p w14:paraId="3AE1613C" w14:textId="6186AE3B" w:rsidR="009C6827" w:rsidRDefault="004F1812" w:rsidP="00E049AF">
      <w:pPr>
        <w:rPr>
          <w:noProof/>
        </w:rPr>
      </w:pPr>
      <w:r>
        <w:rPr>
          <w:noProof/>
        </w:rPr>
        <w:br w:type="page"/>
      </w:r>
    </w:p>
    <w:p w14:paraId="09D87920" w14:textId="77777777" w:rsidR="0017743C" w:rsidRDefault="006F43DF" w:rsidP="006F43DF">
      <w:pPr>
        <w:pStyle w:val="Nadpis1"/>
      </w:pPr>
      <w:bookmarkStart w:id="55" w:name="_Toc148597881"/>
      <w:r>
        <w:lastRenderedPageBreak/>
        <w:t>Závěr</w:t>
      </w:r>
      <w:bookmarkEnd w:id="55"/>
    </w:p>
    <w:p w14:paraId="689740CA" w14:textId="53D225B5" w:rsidR="000E7E36" w:rsidRPr="008A365E" w:rsidRDefault="00B2262B" w:rsidP="00EE5311">
      <w:r>
        <w:t>Ekonomické hodnocení mělo za úkol posoudit</w:t>
      </w:r>
      <w:r w:rsidR="0071338A">
        <w:t xml:space="preserve"> ekonomickou efektivitu stavby, </w:t>
      </w:r>
      <w:r>
        <w:t>k čemuž byl</w:t>
      </w:r>
      <w:r w:rsidR="002E7CB4">
        <w:t>a využita</w:t>
      </w:r>
      <w:r w:rsidR="0071338A" w:rsidRPr="0071338A">
        <w:t xml:space="preserve"> metod</w:t>
      </w:r>
      <w:r w:rsidR="002E7CB4">
        <w:t>a</w:t>
      </w:r>
      <w:r w:rsidR="00261321" w:rsidRPr="0071338A">
        <w:t xml:space="preserve"> </w:t>
      </w:r>
      <w:r w:rsidR="00C90FC6" w:rsidRPr="0071338A">
        <w:t>multikriteriální analýzy (MKA)</w:t>
      </w:r>
      <w:r>
        <w:t>.</w:t>
      </w:r>
      <w:r w:rsidR="003B672D">
        <w:t xml:space="preserve"> </w:t>
      </w:r>
      <w:r w:rsidR="002E7CB4">
        <w:t xml:space="preserve">Finanční analýza byla zpracována metodou CBA. </w:t>
      </w:r>
      <w:r w:rsidR="003B672D">
        <w:t>EH bylo zpracováno v </w:t>
      </w:r>
      <w:r w:rsidR="003B672D" w:rsidRPr="00261321">
        <w:t xml:space="preserve">souladu </w:t>
      </w:r>
      <w:r w:rsidR="0013021C" w:rsidRPr="00261321">
        <w:t xml:space="preserve">s </w:t>
      </w:r>
      <w:r w:rsidR="009F08B8">
        <w:t>„P</w:t>
      </w:r>
      <w:r w:rsidR="0013021C" w:rsidRPr="00261321">
        <w:t>rováděcími pokyny</w:t>
      </w:r>
      <w:r w:rsidR="009F08B8">
        <w:t xml:space="preserve"> pro hodnocení efektivnosti projektů dopravní infrastruktury“</w:t>
      </w:r>
      <w:r w:rsidR="00F328BF">
        <w:t xml:space="preserve"> (MD 2017)</w:t>
      </w:r>
      <w:r w:rsidR="0013021C" w:rsidRPr="00261321">
        <w:t xml:space="preserve"> k </w:t>
      </w:r>
      <w:r w:rsidR="004A49A4">
        <w:t>„</w:t>
      </w:r>
      <w:r w:rsidR="003B672D" w:rsidRPr="00261321">
        <w:t>Rezortní metodice pro hodnocení ekonomické efektivnosti projektů dopravních st</w:t>
      </w:r>
      <w:r w:rsidR="0013021C" w:rsidRPr="00261321">
        <w:t>aveb</w:t>
      </w:r>
      <w:r w:rsidR="004A49A4">
        <w:t>“</w:t>
      </w:r>
      <w:r w:rsidR="003B672D" w:rsidRPr="00261321">
        <w:t xml:space="preserve"> </w:t>
      </w:r>
      <w:r w:rsidR="004A49A4" w:rsidRPr="00F061ED">
        <w:t>vydan</w:t>
      </w:r>
      <w:r w:rsidR="009F08B8">
        <w:t>é</w:t>
      </w:r>
      <w:r w:rsidR="004A49A4" w:rsidRPr="00F061ED">
        <w:t xml:space="preserve"> </w:t>
      </w:r>
      <w:r w:rsidR="00F328BF">
        <w:t>SFDI</w:t>
      </w:r>
      <w:r w:rsidR="004A49A4" w:rsidRPr="00F061ED">
        <w:t xml:space="preserve"> </w:t>
      </w:r>
      <w:r w:rsidR="00F328BF">
        <w:t>10/</w:t>
      </w:r>
      <w:r w:rsidR="004A49A4" w:rsidRPr="0076738F">
        <w:t>2017</w:t>
      </w:r>
      <w:r w:rsidR="00EE5311">
        <w:t xml:space="preserve">, </w:t>
      </w:r>
      <w:r w:rsidR="00EE5311" w:rsidRPr="008A365E">
        <w:t>aktualizovan</w:t>
      </w:r>
      <w:r w:rsidR="009F08B8" w:rsidRPr="008A365E">
        <w:t>é</w:t>
      </w:r>
      <w:r w:rsidR="00EE5311" w:rsidRPr="008A365E">
        <w:t xml:space="preserve"> 06/202</w:t>
      </w:r>
      <w:r w:rsidR="0087746F" w:rsidRPr="008A365E">
        <w:t>3</w:t>
      </w:r>
      <w:r w:rsidR="009F08B8" w:rsidRPr="008A365E">
        <w:t xml:space="preserve">, </w:t>
      </w:r>
      <w:r w:rsidR="00562B52" w:rsidRPr="008A365E">
        <w:t>dle</w:t>
      </w:r>
      <w:r w:rsidR="009F08B8" w:rsidRPr="008A365E">
        <w:t xml:space="preserve"> </w:t>
      </w:r>
      <w:r w:rsidR="00562B52" w:rsidRPr="008A365E">
        <w:t>P</w:t>
      </w:r>
      <w:r w:rsidR="009F08B8" w:rsidRPr="008A365E">
        <w:t>řílohy č. 3</w:t>
      </w:r>
      <w:r w:rsidR="003B672D" w:rsidRPr="008A365E">
        <w:t>.</w:t>
      </w:r>
      <w:r w:rsidR="000073C3" w:rsidRPr="008A365E">
        <w:t xml:space="preserve"> Výsledné hodnoty ukazatelů finanční a </w:t>
      </w:r>
      <w:r w:rsidR="00D52354" w:rsidRPr="008A365E">
        <w:t>multikriteriální</w:t>
      </w:r>
      <w:r w:rsidR="003D679F" w:rsidRPr="008A365E">
        <w:t xml:space="preserve"> ana</w:t>
      </w:r>
      <w:r w:rsidR="00C649C6" w:rsidRPr="008A365E">
        <w:t>lýzy uvád</w:t>
      </w:r>
      <w:r w:rsidR="00AC418D" w:rsidRPr="008A365E">
        <w:t>í</w:t>
      </w:r>
      <w:r w:rsidR="003D679F" w:rsidRPr="008A365E">
        <w:t xml:space="preserve"> </w:t>
      </w:r>
      <w:r w:rsidR="00AC418D" w:rsidRPr="008A365E">
        <w:fldChar w:fldCharType="begin"/>
      </w:r>
      <w:r w:rsidR="00AC418D" w:rsidRPr="008A365E">
        <w:instrText xml:space="preserve"> REF _Ref64012959 \h </w:instrText>
      </w:r>
      <w:r w:rsidR="008A365E">
        <w:instrText xml:space="preserve"> \* MERGEFORMAT </w:instrText>
      </w:r>
      <w:r w:rsidR="00AC418D" w:rsidRPr="008A365E">
        <w:fldChar w:fldCharType="separate"/>
      </w:r>
      <w:r w:rsidR="00C16554" w:rsidRPr="008A365E">
        <w:t xml:space="preserve">Tabulka </w:t>
      </w:r>
      <w:r w:rsidR="00C16554">
        <w:rPr>
          <w:noProof/>
        </w:rPr>
        <w:t>10</w:t>
      </w:r>
      <w:r w:rsidR="00AC418D" w:rsidRPr="008A365E">
        <w:fldChar w:fldCharType="end"/>
      </w:r>
      <w:r w:rsidR="003D679F" w:rsidRPr="008A365E">
        <w:t>.</w:t>
      </w:r>
    </w:p>
    <w:p w14:paraId="0D9D704F" w14:textId="207336A9" w:rsidR="0071338A" w:rsidRPr="008A365E" w:rsidRDefault="0071338A" w:rsidP="0071338A">
      <w:pPr>
        <w:pStyle w:val="Titulek"/>
        <w:keepNext/>
      </w:pPr>
      <w:bookmarkStart w:id="56" w:name="_Ref64012959"/>
      <w:bookmarkStart w:id="57" w:name="_Toc148597855"/>
      <w:r w:rsidRPr="008A365E">
        <w:t xml:space="preserve">Tabulka </w:t>
      </w:r>
      <w:fldSimple w:instr=" SEQ Tabulka \* ARABIC ">
        <w:r w:rsidR="00C16554">
          <w:rPr>
            <w:noProof/>
          </w:rPr>
          <w:t>10</w:t>
        </w:r>
      </w:fldSimple>
      <w:bookmarkEnd w:id="56"/>
      <w:r w:rsidRPr="008A365E">
        <w:t>: Souhrn výsledků ekonomického hodnocení</w:t>
      </w:r>
      <w:bookmarkEnd w:id="57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53"/>
        <w:gridCol w:w="986"/>
        <w:gridCol w:w="2818"/>
        <w:gridCol w:w="2817"/>
      </w:tblGrid>
      <w:tr w:rsidR="00B37E6C" w:rsidRPr="008A365E" w14:paraId="63F4183B" w14:textId="77777777" w:rsidTr="00B37E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pct"/>
          </w:tcPr>
          <w:p w14:paraId="6BEA41E4" w14:textId="77777777" w:rsidR="00B37E6C" w:rsidRPr="008A365E" w:rsidRDefault="00B37E6C" w:rsidP="0071338A">
            <w:pPr>
              <w:tabs>
                <w:tab w:val="left" w:pos="1046"/>
              </w:tabs>
              <w:rPr>
                <w:b/>
              </w:rPr>
            </w:pPr>
            <w:r w:rsidRPr="008A365E">
              <w:rPr>
                <w:b/>
              </w:rPr>
              <w:t>Ukazatel</w:t>
            </w:r>
          </w:p>
        </w:tc>
        <w:tc>
          <w:tcPr>
            <w:tcW w:w="568" w:type="pct"/>
          </w:tcPr>
          <w:p w14:paraId="14EEB4B4" w14:textId="77777777" w:rsidR="00B37E6C" w:rsidRPr="008A365E" w:rsidRDefault="00B37E6C" w:rsidP="007133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365E">
              <w:rPr>
                <w:b/>
              </w:rPr>
              <w:t>Zkratka</w:t>
            </w:r>
          </w:p>
        </w:tc>
        <w:tc>
          <w:tcPr>
            <w:tcW w:w="1624" w:type="pct"/>
          </w:tcPr>
          <w:p w14:paraId="24970E05" w14:textId="77777777" w:rsidR="00B37E6C" w:rsidRPr="008A365E" w:rsidRDefault="00B37E6C" w:rsidP="007133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365E">
              <w:rPr>
                <w:b/>
              </w:rPr>
              <w:t>Finanční analýza</w:t>
            </w:r>
          </w:p>
        </w:tc>
        <w:tc>
          <w:tcPr>
            <w:tcW w:w="1624" w:type="pct"/>
          </w:tcPr>
          <w:p w14:paraId="2512F956" w14:textId="77777777" w:rsidR="00B37E6C" w:rsidRPr="008A365E" w:rsidRDefault="00B37E6C" w:rsidP="007133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365E">
              <w:rPr>
                <w:b/>
              </w:rPr>
              <w:t>MKA</w:t>
            </w:r>
          </w:p>
        </w:tc>
      </w:tr>
      <w:tr w:rsidR="00B37E6C" w:rsidRPr="008A365E" w14:paraId="394F0702" w14:textId="77777777" w:rsidTr="00B37E6C">
        <w:trPr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pct"/>
          </w:tcPr>
          <w:p w14:paraId="26526DEC" w14:textId="77777777" w:rsidR="00B37E6C" w:rsidRPr="008A365E" w:rsidRDefault="00B37E6C" w:rsidP="0071338A">
            <w:r w:rsidRPr="008A365E">
              <w:t>Vnitřní výnosové procento</w:t>
            </w:r>
          </w:p>
        </w:tc>
        <w:tc>
          <w:tcPr>
            <w:tcW w:w="568" w:type="pct"/>
          </w:tcPr>
          <w:p w14:paraId="434FAC15" w14:textId="77777777" w:rsidR="00B37E6C" w:rsidRPr="008A365E" w:rsidRDefault="00B37E6C" w:rsidP="0071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IRR</w:t>
            </w:r>
          </w:p>
        </w:tc>
        <w:tc>
          <w:tcPr>
            <w:tcW w:w="1624" w:type="pct"/>
          </w:tcPr>
          <w:p w14:paraId="6289880E" w14:textId="77777777" w:rsidR="00B37E6C" w:rsidRPr="008A365E" w:rsidRDefault="00B37E6C" w:rsidP="0071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 xml:space="preserve">--- </w:t>
            </w:r>
          </w:p>
        </w:tc>
        <w:tc>
          <w:tcPr>
            <w:tcW w:w="1624" w:type="pct"/>
          </w:tcPr>
          <w:p w14:paraId="08AB93BA" w14:textId="77777777" w:rsidR="00B37E6C" w:rsidRPr="008A365E" w:rsidRDefault="00B37E6C" w:rsidP="00306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---</w:t>
            </w:r>
          </w:p>
        </w:tc>
      </w:tr>
      <w:tr w:rsidR="00B37E6C" w:rsidRPr="008A365E" w14:paraId="033B7809" w14:textId="77777777" w:rsidTr="00B37E6C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pct"/>
          </w:tcPr>
          <w:p w14:paraId="27CCB9A9" w14:textId="77777777" w:rsidR="00B37E6C" w:rsidRPr="008A365E" w:rsidRDefault="00B37E6C" w:rsidP="0071338A">
            <w:r w:rsidRPr="008A365E">
              <w:t>Čistá současná hodnota</w:t>
            </w:r>
          </w:p>
        </w:tc>
        <w:tc>
          <w:tcPr>
            <w:tcW w:w="568" w:type="pct"/>
          </w:tcPr>
          <w:p w14:paraId="73FB4B61" w14:textId="77777777" w:rsidR="00B37E6C" w:rsidRPr="008A365E" w:rsidRDefault="00B37E6C" w:rsidP="0071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NPV</w:t>
            </w:r>
          </w:p>
        </w:tc>
        <w:tc>
          <w:tcPr>
            <w:tcW w:w="1624" w:type="pct"/>
          </w:tcPr>
          <w:p w14:paraId="0A87B0EB" w14:textId="700740BC" w:rsidR="00B37E6C" w:rsidRPr="008A365E" w:rsidRDefault="00292C8A" w:rsidP="0071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3806">
              <w:t>-</w:t>
            </w:r>
            <w:r w:rsidR="0065090A" w:rsidRPr="00D93806">
              <w:t>573</w:t>
            </w:r>
            <w:r w:rsidR="00795B44" w:rsidRPr="00D93806">
              <w:t xml:space="preserve"> </w:t>
            </w:r>
            <w:r w:rsidR="0065090A" w:rsidRPr="00D93806">
              <w:t>549</w:t>
            </w:r>
            <w:r w:rsidR="00795B44" w:rsidRPr="00D93806">
              <w:t> </w:t>
            </w:r>
            <w:r w:rsidR="0065090A" w:rsidRPr="00D93806">
              <w:t>405</w:t>
            </w:r>
            <w:r w:rsidRPr="008A365E">
              <w:t xml:space="preserve"> Kč</w:t>
            </w:r>
          </w:p>
        </w:tc>
        <w:tc>
          <w:tcPr>
            <w:tcW w:w="1624" w:type="pct"/>
          </w:tcPr>
          <w:p w14:paraId="586058CC" w14:textId="77777777" w:rsidR="00B37E6C" w:rsidRPr="008A365E" w:rsidRDefault="00B37E6C" w:rsidP="00306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---</w:t>
            </w:r>
          </w:p>
        </w:tc>
      </w:tr>
      <w:tr w:rsidR="00B37E6C" w:rsidRPr="008A365E" w14:paraId="19520418" w14:textId="77777777" w:rsidTr="00B37E6C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3" w:type="pct"/>
          </w:tcPr>
          <w:p w14:paraId="60BEFB37" w14:textId="77777777" w:rsidR="00B37E6C" w:rsidRPr="008A365E" w:rsidRDefault="00B37E6C" w:rsidP="0071338A">
            <w:r w:rsidRPr="008A365E">
              <w:t>Počet bodů v MKA</w:t>
            </w:r>
          </w:p>
        </w:tc>
        <w:tc>
          <w:tcPr>
            <w:tcW w:w="568" w:type="pct"/>
          </w:tcPr>
          <w:p w14:paraId="19B84DB7" w14:textId="77777777" w:rsidR="00B37E6C" w:rsidRPr="008A365E" w:rsidRDefault="00B37E6C" w:rsidP="0071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MKA</w:t>
            </w:r>
          </w:p>
        </w:tc>
        <w:tc>
          <w:tcPr>
            <w:tcW w:w="1624" w:type="pct"/>
          </w:tcPr>
          <w:p w14:paraId="4E8A2C10" w14:textId="77777777" w:rsidR="00B37E6C" w:rsidRPr="008A365E" w:rsidRDefault="00B37E6C" w:rsidP="0071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---</w:t>
            </w:r>
          </w:p>
        </w:tc>
        <w:tc>
          <w:tcPr>
            <w:tcW w:w="1624" w:type="pct"/>
          </w:tcPr>
          <w:p w14:paraId="349D805B" w14:textId="15EA77AA" w:rsidR="00B37E6C" w:rsidRPr="008A365E" w:rsidRDefault="00490C11" w:rsidP="007133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365E">
              <w:t>6,5</w:t>
            </w:r>
          </w:p>
        </w:tc>
      </w:tr>
    </w:tbl>
    <w:p w14:paraId="7A73C8CF" w14:textId="77777777" w:rsidR="0071338A" w:rsidRPr="008A365E" w:rsidRDefault="0071338A" w:rsidP="00D716AB">
      <w:pPr>
        <w:spacing w:after="0"/>
      </w:pPr>
    </w:p>
    <w:p w14:paraId="46EBA0F7" w14:textId="5A98FCF0" w:rsidR="00D716AB" w:rsidRPr="008A365E" w:rsidRDefault="00BE4A3B" w:rsidP="00BE4A3B">
      <w:r w:rsidRPr="008A365E">
        <w:t>Z</w:t>
      </w:r>
      <w:r w:rsidR="000E7E36" w:rsidRPr="008A365E">
        <w:t xml:space="preserve"> výše uvedených </w:t>
      </w:r>
      <w:r w:rsidRPr="008A365E">
        <w:t xml:space="preserve">výsledků </w:t>
      </w:r>
      <w:r w:rsidR="002779C0" w:rsidRPr="008A365E">
        <w:t>ekonomického hodnocení</w:t>
      </w:r>
      <w:r w:rsidR="003D679F" w:rsidRPr="008A365E">
        <w:t xml:space="preserve"> </w:t>
      </w:r>
      <w:r w:rsidRPr="008A365E">
        <w:t xml:space="preserve">je patrné, že </w:t>
      </w:r>
      <w:r w:rsidR="000E7E36" w:rsidRPr="008A365E">
        <w:t>z</w:t>
      </w:r>
      <w:r w:rsidR="003379A4" w:rsidRPr="008A365E">
        <w:t> </w:t>
      </w:r>
      <w:r w:rsidR="00D716AB" w:rsidRPr="008A365E">
        <w:t>hlediska finanční analýzy ne</w:t>
      </w:r>
      <w:r w:rsidR="00EE5311" w:rsidRPr="008A365E">
        <w:t>ní</w:t>
      </w:r>
      <w:r w:rsidR="00D716AB" w:rsidRPr="008A365E">
        <w:t xml:space="preserve"> </w:t>
      </w:r>
      <w:r w:rsidR="00D54B7F" w:rsidRPr="008A365E">
        <w:t xml:space="preserve">projekt </w:t>
      </w:r>
      <w:r w:rsidRPr="008A365E">
        <w:t>za daných podmínek</w:t>
      </w:r>
      <w:r w:rsidR="00D54B7F" w:rsidRPr="008A365E">
        <w:t xml:space="preserve"> efektivně provediteln</w:t>
      </w:r>
      <w:r w:rsidR="00EE5311" w:rsidRPr="008A365E">
        <w:t>ý</w:t>
      </w:r>
      <w:r w:rsidR="00D54B7F" w:rsidRPr="008A365E">
        <w:t xml:space="preserve"> čistě z </w:t>
      </w:r>
      <w:r w:rsidRPr="008A365E">
        <w:t>vlastních z</w:t>
      </w:r>
      <w:r w:rsidR="00D97583" w:rsidRPr="008A365E">
        <w:t>drojů investora –</w:t>
      </w:r>
      <w:r w:rsidR="00D716AB" w:rsidRPr="008A365E">
        <w:t xml:space="preserve"> ne</w:t>
      </w:r>
      <w:r w:rsidR="00EE5311" w:rsidRPr="008A365E">
        <w:t>ní</w:t>
      </w:r>
      <w:r w:rsidR="00D716AB" w:rsidRPr="008A365E">
        <w:t xml:space="preserve"> samofinancovateln</w:t>
      </w:r>
      <w:r w:rsidR="0061213D" w:rsidRPr="008A365E">
        <w:t>ý</w:t>
      </w:r>
      <w:r w:rsidR="00D97583" w:rsidRPr="008A365E">
        <w:t>.</w:t>
      </w:r>
      <w:r w:rsidR="00514CB2" w:rsidRPr="008A365E">
        <w:t xml:space="preserve"> Toto dokládá záporná hodnota finanční čisté současné hodnoty</w:t>
      </w:r>
      <w:r w:rsidR="00A87ECE" w:rsidRPr="008A365E">
        <w:t xml:space="preserve"> (FNPV)</w:t>
      </w:r>
      <w:r w:rsidR="00096F9A" w:rsidRPr="008A365E">
        <w:t>.</w:t>
      </w:r>
      <w:r w:rsidR="003379A4" w:rsidRPr="008A365E">
        <w:t xml:space="preserve"> </w:t>
      </w:r>
    </w:p>
    <w:p w14:paraId="588AEFA2" w14:textId="0AB9A995" w:rsidR="00BE4A3B" w:rsidRPr="008A365E" w:rsidRDefault="005D33B2" w:rsidP="00BE4A3B">
      <w:bookmarkStart w:id="58" w:name="_Hlk103842700"/>
      <w:r w:rsidRPr="008A365E">
        <w:t xml:space="preserve">Z pohledu celospolečenských přínosů lze hodnotit, že </w:t>
      </w:r>
      <w:bookmarkEnd w:id="58"/>
      <w:r w:rsidR="00EE5311" w:rsidRPr="008A365E">
        <w:t xml:space="preserve">je projekt efektivní. </w:t>
      </w:r>
      <w:r w:rsidR="00D716AB" w:rsidRPr="008A365E">
        <w:t xml:space="preserve">To prokázal výsledek analýzy MKA po </w:t>
      </w:r>
      <w:r w:rsidR="0037469A" w:rsidRPr="008A365E">
        <w:t>dosažen</w:t>
      </w:r>
      <w:r w:rsidR="00D716AB" w:rsidRPr="008A365E">
        <w:t>í</w:t>
      </w:r>
      <w:r w:rsidR="0037469A" w:rsidRPr="008A365E">
        <w:t xml:space="preserve"> počt</w:t>
      </w:r>
      <w:r w:rsidR="00D716AB" w:rsidRPr="008A365E">
        <w:t>u</w:t>
      </w:r>
      <w:r w:rsidR="0037469A" w:rsidRPr="008A365E">
        <w:t xml:space="preserve"> bodů</w:t>
      </w:r>
      <w:r w:rsidR="00A87ECE" w:rsidRPr="008A365E">
        <w:t xml:space="preserve"> </w:t>
      </w:r>
      <w:r w:rsidR="00490C11" w:rsidRPr="008A365E">
        <w:t>6,5</w:t>
      </w:r>
      <w:r w:rsidR="0037469A" w:rsidRPr="008A365E">
        <w:t xml:space="preserve">, který přesáhl minimální požadovanou hranici </w:t>
      </w:r>
      <w:r w:rsidR="002E1697" w:rsidRPr="008A365E">
        <w:t>4</w:t>
      </w:r>
      <w:r w:rsidR="00EA101D" w:rsidRPr="008A365E">
        <w:t>,5</w:t>
      </w:r>
      <w:r w:rsidR="0037469A" w:rsidRPr="008A365E">
        <w:t xml:space="preserve"> bodů.</w:t>
      </w:r>
    </w:p>
    <w:p w14:paraId="52E168FC" w14:textId="52C98D6C" w:rsidR="003A7BB5" w:rsidRPr="008A365E" w:rsidRDefault="00D716AB" w:rsidP="00644A36">
      <w:r w:rsidRPr="008A365E">
        <w:t>Přínos projektu</w:t>
      </w:r>
      <w:r w:rsidR="00BE4A3B" w:rsidRPr="008A365E">
        <w:t xml:space="preserve"> spočívá především </w:t>
      </w:r>
      <w:r w:rsidR="0061213D" w:rsidRPr="008A365E">
        <w:t xml:space="preserve">ve </w:t>
      </w:r>
      <w:r w:rsidR="003A7BB5" w:rsidRPr="008A365E">
        <w:t xml:space="preserve">zvýšení bezpečnosti, </w:t>
      </w:r>
      <w:r w:rsidR="00EE20A7" w:rsidRPr="008A365E">
        <w:t xml:space="preserve">uvedení staveb a zařízení pro čekání a pohyb cestujících do normového stavu, </w:t>
      </w:r>
      <w:r w:rsidR="003A7BB5" w:rsidRPr="008A365E">
        <w:t>zlepšení přístupu pro osoby se sníženou schopností pohybu, úspornější technologi</w:t>
      </w:r>
      <w:r w:rsidR="0061213D" w:rsidRPr="008A365E">
        <w:t>i</w:t>
      </w:r>
      <w:r w:rsidR="003A7BB5" w:rsidRPr="008A365E">
        <w:t xml:space="preserve"> osvětlení, celkové</w:t>
      </w:r>
      <w:r w:rsidR="0061213D" w:rsidRPr="008A365E">
        <w:t>m</w:t>
      </w:r>
      <w:r w:rsidR="003A7BB5" w:rsidRPr="008A365E">
        <w:t xml:space="preserve"> zlepšení kultury cestování </w:t>
      </w:r>
      <w:r w:rsidR="00D52354" w:rsidRPr="008A365E">
        <w:br/>
      </w:r>
      <w:r w:rsidR="003A7BB5" w:rsidRPr="008A365E">
        <w:t>a řešení problematiky parkování</w:t>
      </w:r>
      <w:r w:rsidR="00EE20A7" w:rsidRPr="008A365E">
        <w:t>.</w:t>
      </w:r>
    </w:p>
    <w:p w14:paraId="19433B8F" w14:textId="3184C610" w:rsidR="003178D9" w:rsidRDefault="003178D9" w:rsidP="00644A36">
      <w:r w:rsidRPr="008A365E">
        <w:rPr>
          <w:noProof/>
        </w:rPr>
        <w:t xml:space="preserve">Za kritickou proměnnou je v tomto případě považován poměr započitatelných </w:t>
      </w:r>
      <w:r w:rsidR="0042279E" w:rsidRPr="008A365E">
        <w:rPr>
          <w:noProof/>
        </w:rPr>
        <w:br/>
      </w:r>
      <w:r w:rsidRPr="008A365E">
        <w:rPr>
          <w:noProof/>
        </w:rPr>
        <w:t xml:space="preserve">a nezapočitatelných stavebních nákladů z multikriteriální analýzy. </w:t>
      </w:r>
      <w:r w:rsidR="0042279E" w:rsidRPr="008A365E">
        <w:rPr>
          <w:noProof/>
        </w:rPr>
        <w:t xml:space="preserve">Vylučovací pravidlo by nebylo splněno a tím i ekonomická efektivnost stavby, kdyby nezapočitatelné náklady dosáhly (za předpokladu zachování </w:t>
      </w:r>
      <w:r w:rsidR="0042279E" w:rsidRPr="00D93806">
        <w:rPr>
          <w:noProof/>
        </w:rPr>
        <w:t xml:space="preserve">všech ostatních vstupních hodnot) hodnoty 25 % z celkových stavebních nákladů. K tomu dochází při navýšení cen nezapočitatelných nákladů o </w:t>
      </w:r>
      <w:r w:rsidR="009617BB" w:rsidRPr="00D93806">
        <w:rPr>
          <w:noProof/>
        </w:rPr>
        <w:t>4,8</w:t>
      </w:r>
      <w:r w:rsidR="0042279E" w:rsidRPr="00D93806">
        <w:rPr>
          <w:noProof/>
        </w:rPr>
        <w:t xml:space="preserve"> %, </w:t>
      </w:r>
      <w:r w:rsidR="0042279E" w:rsidRPr="00D93806">
        <w:rPr>
          <w:noProof/>
        </w:rPr>
        <w:br/>
        <w:t xml:space="preserve">tj. o </w:t>
      </w:r>
      <w:r w:rsidR="009617BB" w:rsidRPr="00D93806">
        <w:rPr>
          <w:noProof/>
        </w:rPr>
        <w:t>7,01</w:t>
      </w:r>
      <w:r w:rsidR="0042279E" w:rsidRPr="00D93806">
        <w:rPr>
          <w:noProof/>
        </w:rPr>
        <w:t xml:space="preserve"> mil. Kč</w:t>
      </w:r>
      <w:r w:rsidR="00C02D98" w:rsidRPr="00D93806">
        <w:rPr>
          <w:noProof/>
        </w:rPr>
        <w:t xml:space="preserve">, nebo při snížení započitatelných nákladů o </w:t>
      </w:r>
      <w:r w:rsidR="009617BB" w:rsidRPr="00D93806">
        <w:rPr>
          <w:noProof/>
        </w:rPr>
        <w:t>4,58</w:t>
      </w:r>
      <w:r w:rsidR="00C02D98" w:rsidRPr="00D93806">
        <w:rPr>
          <w:noProof/>
        </w:rPr>
        <w:t xml:space="preserve"> %, tj. o </w:t>
      </w:r>
      <w:r w:rsidR="009617BB" w:rsidRPr="00D93806">
        <w:rPr>
          <w:noProof/>
        </w:rPr>
        <w:t>21,03</w:t>
      </w:r>
      <w:r w:rsidR="00C02D98" w:rsidRPr="00D93806">
        <w:rPr>
          <w:noProof/>
        </w:rPr>
        <w:t xml:space="preserve"> mil</w:t>
      </w:r>
      <w:r w:rsidR="00C02D98">
        <w:rPr>
          <w:noProof/>
        </w:rPr>
        <w:t>. Kč</w:t>
      </w:r>
      <w:r w:rsidR="00C02D98" w:rsidRPr="004E02BB">
        <w:rPr>
          <w:noProof/>
        </w:rPr>
        <w:t xml:space="preserve"> </w:t>
      </w:r>
      <w:r w:rsidR="00A65837">
        <w:rPr>
          <w:noProof/>
        </w:rPr>
        <w:br/>
      </w:r>
      <w:r w:rsidR="0042279E" w:rsidRPr="004E02BB">
        <w:rPr>
          <w:noProof/>
        </w:rPr>
        <w:t>v CÚ 2023.</w:t>
      </w:r>
      <w:r w:rsidR="00C02D98">
        <w:rPr>
          <w:noProof/>
        </w:rPr>
        <w:t xml:space="preserve"> </w:t>
      </w:r>
      <w:r w:rsidR="00A65837">
        <w:rPr>
          <w:noProof/>
        </w:rPr>
        <w:t xml:space="preserve">Předpokládáme, že toto riziko změny poměru stavebních nákladů bude vyřešeno vydáním nových „Prováděcích </w:t>
      </w:r>
      <w:r w:rsidR="00A65837" w:rsidRPr="00261321">
        <w:t>pokyn</w:t>
      </w:r>
      <w:r w:rsidR="00A65837">
        <w:t>ů pro hodnocení efektivnosti projektů dopravní infrastruktury</w:t>
      </w:r>
      <w:r w:rsidR="00736109">
        <w:rPr>
          <w:noProof/>
        </w:rPr>
        <w:t>“, které výslovně umožn</w:t>
      </w:r>
      <w:r w:rsidR="00A65837">
        <w:rPr>
          <w:noProof/>
        </w:rPr>
        <w:t>í kombinaci metod ekonomického hodnocení.</w:t>
      </w:r>
    </w:p>
    <w:p w14:paraId="62EF7ED7" w14:textId="4BCDC737" w:rsidR="007002FE" w:rsidRPr="007002FE" w:rsidRDefault="00F46894" w:rsidP="00EE20A7">
      <w:pPr>
        <w:rPr>
          <w:b/>
        </w:rPr>
      </w:pPr>
      <w:r>
        <w:rPr>
          <w:b/>
        </w:rPr>
        <w:t xml:space="preserve">U </w:t>
      </w:r>
      <w:r w:rsidR="007002FE" w:rsidRPr="007002FE">
        <w:rPr>
          <w:b/>
        </w:rPr>
        <w:t>projektu</w:t>
      </w:r>
      <w:r>
        <w:rPr>
          <w:b/>
        </w:rPr>
        <w:t xml:space="preserve"> byla prokázána celospolečenská efektivnost a lze je</w:t>
      </w:r>
      <w:r w:rsidR="00683ADC">
        <w:rPr>
          <w:b/>
        </w:rPr>
        <w:t>j</w:t>
      </w:r>
      <w:r>
        <w:rPr>
          <w:b/>
        </w:rPr>
        <w:t xml:space="preserve"> doporučit k realizaci.</w:t>
      </w:r>
    </w:p>
    <w:bookmarkEnd w:id="0"/>
    <w:bookmarkEnd w:id="1"/>
    <w:bookmarkEnd w:id="2"/>
    <w:p w14:paraId="18E1F9BD" w14:textId="77777777" w:rsidR="00B02CF9" w:rsidRPr="0056325C" w:rsidRDefault="00B02CF9" w:rsidP="00B02CF9">
      <w:pPr>
        <w:rPr>
          <w:highlight w:val="yellow"/>
        </w:rPr>
      </w:pPr>
    </w:p>
    <w:p w14:paraId="30369643" w14:textId="77777777" w:rsidR="00B02CF9" w:rsidRDefault="00B02CF9" w:rsidP="00B02CF9">
      <w:pPr>
        <w:sectPr w:rsidR="00B02CF9" w:rsidSect="00C107A2"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392F5092" w14:textId="77777777" w:rsidR="0056325C" w:rsidRDefault="0056325C" w:rsidP="0056325C">
      <w:pPr>
        <w:pStyle w:val="Nadpis2neuvedenvobsahu"/>
      </w:pPr>
      <w:r w:rsidRPr="003E2370">
        <w:lastRenderedPageBreak/>
        <w:t>Seznam tabulek</w:t>
      </w:r>
    </w:p>
    <w:p w14:paraId="59CF2510" w14:textId="61FA1D10" w:rsidR="00CA6003" w:rsidRDefault="0056325C">
      <w:pPr>
        <w:pStyle w:val="Seznamobrzk"/>
        <w:rPr>
          <w:rFonts w:eastAsiaTheme="minorEastAsia"/>
          <w:sz w:val="22"/>
          <w:szCs w:val="22"/>
          <w:lang w:eastAsia="cs-CZ"/>
        </w:rPr>
      </w:pPr>
      <w:r>
        <w:rPr>
          <w:b/>
        </w:rPr>
        <w:fldChar w:fldCharType="begin"/>
      </w:r>
      <w:r>
        <w:rPr>
          <w:b/>
        </w:rPr>
        <w:instrText xml:space="preserve"> TOC \h \z \c "Tabulka" </w:instrText>
      </w:r>
      <w:r>
        <w:rPr>
          <w:b/>
        </w:rPr>
        <w:fldChar w:fldCharType="separate"/>
      </w:r>
      <w:hyperlink w:anchor="_Toc148597846" w:history="1">
        <w:r w:rsidR="00CA6003" w:rsidRPr="00A75936">
          <w:rPr>
            <w:rStyle w:val="Hypertextovodkaz"/>
          </w:rPr>
          <w:t>Tabulka 1: Linky osobní dopravy, výchozí stav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_Toc148597846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 w:rsidR="00C16554">
          <w:rPr>
            <w:webHidden/>
          </w:rPr>
          <w:t>6</w:t>
        </w:r>
        <w:r w:rsidR="00CA6003">
          <w:rPr>
            <w:webHidden/>
          </w:rPr>
          <w:fldChar w:fldCharType="end"/>
        </w:r>
      </w:hyperlink>
    </w:p>
    <w:p w14:paraId="7ACDADBA" w14:textId="6B467B2A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47" w:history="1">
        <w:r w:rsidR="00CA6003" w:rsidRPr="00A75936">
          <w:rPr>
            <w:rStyle w:val="Hypertextovodkaz"/>
          </w:rPr>
          <w:t>Tabulka 2: Rozsah dopravy, výchozí stav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_Toc148597847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6</w:t>
        </w:r>
        <w:r w:rsidR="00CA6003">
          <w:rPr>
            <w:webHidden/>
          </w:rPr>
          <w:fldChar w:fldCharType="end"/>
        </w:r>
      </w:hyperlink>
    </w:p>
    <w:p w14:paraId="3F8EB8D9" w14:textId="54A2270C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48" w:history="1">
        <w:r w:rsidR="00CA6003" w:rsidRPr="00A75936">
          <w:rPr>
            <w:rStyle w:val="Hypertextovodkaz"/>
          </w:rPr>
          <w:t>Tabulka 3: Linky osobní dopravy, výhled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_Toc148597848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7</w:t>
        </w:r>
        <w:r w:rsidR="00CA6003">
          <w:rPr>
            <w:webHidden/>
          </w:rPr>
          <w:fldChar w:fldCharType="end"/>
        </w:r>
      </w:hyperlink>
    </w:p>
    <w:p w14:paraId="61563578" w14:textId="5FF839C2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49" w:history="1">
        <w:r w:rsidR="00CA6003" w:rsidRPr="00A75936">
          <w:rPr>
            <w:rStyle w:val="Hypertextovodkaz"/>
          </w:rPr>
          <w:t>Tabulka 4: Rozsah dopravy, výhledový stav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_Toc148597849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7</w:t>
        </w:r>
        <w:r w:rsidR="00CA6003">
          <w:rPr>
            <w:webHidden/>
          </w:rPr>
          <w:fldChar w:fldCharType="end"/>
        </w:r>
      </w:hyperlink>
    </w:p>
    <w:p w14:paraId="434E383A" w14:textId="562FE845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50" w:history="1">
        <w:r w:rsidR="00CA6003" w:rsidRPr="00A75936">
          <w:rPr>
            <w:rStyle w:val="Hypertextovodkaz"/>
          </w:rPr>
          <w:t>Tabulka 5: Celkové investiční náklady staveb v Kč, CÚ 2023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_Toc148597850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11</w:t>
        </w:r>
        <w:r w:rsidR="00CA6003">
          <w:rPr>
            <w:webHidden/>
          </w:rPr>
          <w:fldChar w:fldCharType="end"/>
        </w:r>
      </w:hyperlink>
    </w:p>
    <w:p w14:paraId="2ACFD7AC" w14:textId="049E7999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51" w:history="1">
        <w:r w:rsidR="00CA6003" w:rsidRPr="00A75936">
          <w:rPr>
            <w:rStyle w:val="Hypertextovodkaz"/>
          </w:rPr>
          <w:t>Tabulka 6: Příjmy z pronájmu v projektových variantách v Kč, CÚ 2023 v roce po dokončení stavby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_Toc148597851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12</w:t>
        </w:r>
        <w:r w:rsidR="00CA6003">
          <w:rPr>
            <w:webHidden/>
          </w:rPr>
          <w:fldChar w:fldCharType="end"/>
        </w:r>
      </w:hyperlink>
    </w:p>
    <w:p w14:paraId="0291A9B8" w14:textId="25AEA5E2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52" w:history="1">
        <w:r w:rsidR="00CA6003" w:rsidRPr="00A75936">
          <w:rPr>
            <w:rStyle w:val="Hypertextovodkaz"/>
          </w:rPr>
          <w:t>Tabulka 7: Zůstatková hodnota ve finanční analýze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_Toc148597852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13</w:t>
        </w:r>
        <w:r w:rsidR="00CA6003">
          <w:rPr>
            <w:webHidden/>
          </w:rPr>
          <w:fldChar w:fldCharType="end"/>
        </w:r>
      </w:hyperlink>
    </w:p>
    <w:p w14:paraId="2928AF38" w14:textId="0AA8BE36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53" w:history="1">
        <w:r w:rsidR="00CA6003" w:rsidRPr="00A75936">
          <w:rPr>
            <w:rStyle w:val="Hypertextovodkaz"/>
          </w:rPr>
          <w:t>Tabulka 8: Výsledné ukazatele finanční analýzy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_Toc148597853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13</w:t>
        </w:r>
        <w:r w:rsidR="00CA6003">
          <w:rPr>
            <w:webHidden/>
          </w:rPr>
          <w:fldChar w:fldCharType="end"/>
        </w:r>
      </w:hyperlink>
    </w:p>
    <w:p w14:paraId="18D6B3BE" w14:textId="3B4CE55C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54" w:history="1">
        <w:r w:rsidR="00CA6003" w:rsidRPr="00A75936">
          <w:rPr>
            <w:rStyle w:val="Hypertextovodkaz"/>
          </w:rPr>
          <w:t>Tabulka 9: Podíl započitatelných nákladů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_Toc148597854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13</w:t>
        </w:r>
        <w:r w:rsidR="00CA6003">
          <w:rPr>
            <w:webHidden/>
          </w:rPr>
          <w:fldChar w:fldCharType="end"/>
        </w:r>
      </w:hyperlink>
    </w:p>
    <w:p w14:paraId="7FBA3392" w14:textId="150B3B2C" w:rsidR="00CA6003" w:rsidRDefault="00C16554">
      <w:pPr>
        <w:pStyle w:val="Seznamobrzk"/>
        <w:rPr>
          <w:rFonts w:eastAsiaTheme="minorEastAsia"/>
          <w:sz w:val="22"/>
          <w:szCs w:val="22"/>
          <w:lang w:eastAsia="cs-CZ"/>
        </w:rPr>
      </w:pPr>
      <w:hyperlink w:anchor="_Toc148597855" w:history="1">
        <w:r w:rsidR="00CA6003" w:rsidRPr="00A75936">
          <w:rPr>
            <w:rStyle w:val="Hypertextovodkaz"/>
          </w:rPr>
          <w:t>Tabulka 10: Souhrn výsledků ekonomického hodnocení</w:t>
        </w:r>
        <w:r w:rsidR="00CA6003">
          <w:rPr>
            <w:webHidden/>
          </w:rPr>
          <w:tab/>
        </w:r>
        <w:r w:rsidR="00CA6003">
          <w:rPr>
            <w:webHidden/>
          </w:rPr>
          <w:fldChar w:fldCharType="begin"/>
        </w:r>
        <w:r w:rsidR="00CA6003">
          <w:rPr>
            <w:webHidden/>
          </w:rPr>
          <w:instrText xml:space="preserve"> PAGEREF _Toc148597855 \h </w:instrText>
        </w:r>
        <w:r w:rsidR="00CA6003">
          <w:rPr>
            <w:webHidden/>
          </w:rPr>
        </w:r>
        <w:r w:rsidR="00CA6003">
          <w:rPr>
            <w:webHidden/>
          </w:rPr>
          <w:fldChar w:fldCharType="separate"/>
        </w:r>
        <w:r>
          <w:rPr>
            <w:webHidden/>
          </w:rPr>
          <w:t>15</w:t>
        </w:r>
        <w:r w:rsidR="00CA6003">
          <w:rPr>
            <w:webHidden/>
          </w:rPr>
          <w:fldChar w:fldCharType="end"/>
        </w:r>
      </w:hyperlink>
    </w:p>
    <w:p w14:paraId="488DBF7C" w14:textId="007313E7" w:rsidR="0056325C" w:rsidRDefault="0056325C" w:rsidP="00B23EDA">
      <w:pPr>
        <w:pStyle w:val="Nadpis2neuvedenvobsahu"/>
      </w:pPr>
      <w:r>
        <w:rPr>
          <w:rFonts w:eastAsiaTheme="minorHAnsi"/>
          <w:noProof/>
        </w:rPr>
        <w:fldChar w:fldCharType="end"/>
      </w:r>
      <w:r w:rsidR="00B23EDA" w:rsidRPr="00B23EDA">
        <w:t>Přílohy</w:t>
      </w:r>
      <w:r w:rsidRPr="00B23EDA">
        <w:t xml:space="preserve"> </w:t>
      </w:r>
    </w:p>
    <w:p w14:paraId="00530FA8" w14:textId="7E4961BF" w:rsidR="00422E17" w:rsidRPr="00D93806" w:rsidRDefault="00422E17" w:rsidP="0073725B">
      <w:pPr>
        <w:contextualSpacing/>
      </w:pPr>
      <w:r>
        <w:t>ValMez</w:t>
      </w:r>
      <w:r w:rsidR="00CF2558">
        <w:t>_</w:t>
      </w:r>
      <w:r>
        <w:t>C_1_101_CBA_</w:t>
      </w:r>
      <w:r w:rsidR="00CF2558" w:rsidRPr="00D93806">
        <w:t>0</w:t>
      </w:r>
      <w:r w:rsidRPr="00D93806">
        <w:t>0</w:t>
      </w:r>
      <w:r w:rsidR="0065090A" w:rsidRPr="00D93806">
        <w:t>2</w:t>
      </w:r>
      <w:r w:rsidRPr="00D93806">
        <w:tab/>
        <w:t>CBA tabulky (MS Excel)</w:t>
      </w:r>
    </w:p>
    <w:p w14:paraId="4BC89FA0" w14:textId="717ED966" w:rsidR="00422E17" w:rsidRDefault="00CF2558" w:rsidP="0073725B">
      <w:r w:rsidRPr="00D93806">
        <w:t>ValMez_C_1_102_MKA_0</w:t>
      </w:r>
      <w:r w:rsidR="00422E17" w:rsidRPr="00D93806">
        <w:t>0</w:t>
      </w:r>
      <w:r w:rsidR="0065090A" w:rsidRPr="00D93806">
        <w:t>2</w:t>
      </w:r>
      <w:r w:rsidR="00422E17">
        <w:tab/>
        <w:t>MKA tabulky (MS Excel)</w:t>
      </w:r>
    </w:p>
    <w:p w14:paraId="00F7DAE2" w14:textId="77777777" w:rsidR="0056325C" w:rsidRDefault="0056325C" w:rsidP="0056325C">
      <w:pPr>
        <w:pStyle w:val="Nadpis2neuvedenvobsahu"/>
      </w:pPr>
    </w:p>
    <w:p w14:paraId="643A9E33" w14:textId="77777777" w:rsidR="00DE504D" w:rsidRDefault="00DE504D" w:rsidP="00DE504D"/>
    <w:p w14:paraId="37D3F8F9" w14:textId="77777777" w:rsidR="00DE504D" w:rsidRPr="00DE504D" w:rsidRDefault="00DE504D" w:rsidP="00DE504D">
      <w:pPr>
        <w:sectPr w:rsidR="00DE504D" w:rsidRPr="00DE504D" w:rsidSect="00B02CF9">
          <w:footerReference w:type="even" r:id="rId23"/>
          <w:footerReference w:type="default" r:id="rId24"/>
          <w:type w:val="oddPage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5A033841" w14:textId="77777777" w:rsidR="00331E6D" w:rsidRPr="00331E6D" w:rsidRDefault="00331E6D" w:rsidP="00331E6D">
      <w:pPr>
        <w:pStyle w:val="Tirnazadnstran"/>
        <w:rPr>
          <w:b/>
          <w:color w:val="002B59" w:themeColor="accent1"/>
        </w:rPr>
      </w:pPr>
      <w:r w:rsidRPr="00331E6D">
        <w:rPr>
          <w:b/>
          <w:color w:val="002B59" w:themeColor="accent1"/>
        </w:rPr>
        <w:lastRenderedPageBreak/>
        <w:t>Správa železni</w:t>
      </w:r>
      <w:r w:rsidR="00F56F1D">
        <w:rPr>
          <w:b/>
          <w:color w:val="002B59" w:themeColor="accent1"/>
        </w:rPr>
        <w:t>c</w:t>
      </w:r>
      <w:r w:rsidR="00A555D3">
        <w:rPr>
          <w:b/>
          <w:color w:val="002B59" w:themeColor="accent1"/>
        </w:rPr>
        <w:t xml:space="preserve">, </w:t>
      </w:r>
      <w:r w:rsidRPr="00331E6D">
        <w:rPr>
          <w:b/>
          <w:color w:val="002B59" w:themeColor="accent1"/>
        </w:rPr>
        <w:t>státní organizace</w:t>
      </w:r>
      <w:r>
        <w:rPr>
          <w:b/>
          <w:color w:val="002B59" w:themeColor="accent1"/>
        </w:rPr>
        <w:br/>
      </w:r>
      <w:r w:rsidR="00CA2486">
        <w:rPr>
          <w:b/>
          <w:color w:val="002B59" w:themeColor="accent1"/>
        </w:rPr>
        <w:t>Generální ředitelství</w:t>
      </w:r>
      <w:r>
        <w:rPr>
          <w:b/>
          <w:color w:val="002B59" w:themeColor="accent1"/>
        </w:rPr>
        <w:br/>
      </w:r>
      <w:r w:rsidRPr="00331E6D">
        <w:rPr>
          <w:b/>
          <w:color w:val="002B59" w:themeColor="accent1"/>
        </w:rPr>
        <w:t>Dlážděná 1003/7</w:t>
      </w:r>
      <w:r w:rsidRPr="00331E6D">
        <w:rPr>
          <w:b/>
          <w:color w:val="002B59" w:themeColor="accent1"/>
        </w:rPr>
        <w:br/>
        <w:t>110 00 Praha 1</w:t>
      </w:r>
    </w:p>
    <w:p w14:paraId="4892009C" w14:textId="1D29581E" w:rsidR="00331E6D" w:rsidRPr="00854A05" w:rsidRDefault="00331E6D" w:rsidP="00331E6D">
      <w:pPr>
        <w:pStyle w:val="Tirnazadnstran"/>
        <w:rPr>
          <w:b/>
          <w:color w:val="002B59" w:themeColor="accent1"/>
        </w:rPr>
      </w:pPr>
      <w:r w:rsidRPr="00854A05">
        <w:rPr>
          <w:b/>
          <w:color w:val="002B59" w:themeColor="accent1"/>
        </w:rPr>
        <w:t>© 20</w:t>
      </w:r>
      <w:r w:rsidR="005C67F8">
        <w:rPr>
          <w:b/>
          <w:color w:val="002B59" w:themeColor="accent1"/>
        </w:rPr>
        <w:t>2</w:t>
      </w:r>
      <w:r w:rsidR="005673E7">
        <w:rPr>
          <w:b/>
          <w:color w:val="002B59" w:themeColor="accent1"/>
        </w:rPr>
        <w:t>3</w:t>
      </w:r>
    </w:p>
    <w:p w14:paraId="242E4933" w14:textId="44F3E40A" w:rsidR="00331E6D" w:rsidRPr="00331E6D" w:rsidRDefault="00331E6D" w:rsidP="00331E6D">
      <w:pPr>
        <w:pStyle w:val="Tirnazadnstran"/>
        <w:rPr>
          <w:b/>
          <w:color w:val="002B59" w:themeColor="accent1"/>
        </w:rPr>
      </w:pPr>
      <w:r w:rsidRPr="00854A05">
        <w:rPr>
          <w:color w:val="002B59" w:themeColor="accent1"/>
        </w:rPr>
        <w:t>Datum tisku</w:t>
      </w:r>
      <w:r w:rsidRPr="00854A05">
        <w:rPr>
          <w:color w:val="002B59" w:themeColor="accent1"/>
        </w:rPr>
        <w:br/>
      </w:r>
      <w:r w:rsidR="00614DB1" w:rsidRPr="005C5618">
        <w:rPr>
          <w:color w:val="002B59" w:themeColor="accent1"/>
        </w:rPr>
        <w:t>202</w:t>
      </w:r>
      <w:r w:rsidR="005673E7" w:rsidRPr="005C5618">
        <w:rPr>
          <w:color w:val="002B59" w:themeColor="accent1"/>
        </w:rPr>
        <w:t>3</w:t>
      </w:r>
      <w:r w:rsidR="00614DB1" w:rsidRPr="008A365E">
        <w:rPr>
          <w:color w:val="002B59" w:themeColor="accent1"/>
        </w:rPr>
        <w:t>-</w:t>
      </w:r>
      <w:r w:rsidR="0065090A">
        <w:rPr>
          <w:color w:val="002B59" w:themeColor="accent1"/>
        </w:rPr>
        <w:t>10</w:t>
      </w:r>
      <w:r w:rsidR="00CA2486" w:rsidRPr="008A365E">
        <w:rPr>
          <w:color w:val="002B59" w:themeColor="accent1"/>
        </w:rPr>
        <w:t>-</w:t>
      </w:r>
      <w:r w:rsidR="000B2371">
        <w:rPr>
          <w:color w:val="002B59" w:themeColor="accent1"/>
        </w:rPr>
        <w:t>20</w:t>
      </w:r>
      <w:bookmarkStart w:id="59" w:name="_GoBack"/>
      <w:bookmarkEnd w:id="59"/>
    </w:p>
    <w:sectPr w:rsidR="00331E6D" w:rsidRPr="00331E6D" w:rsidSect="006E1E5B">
      <w:headerReference w:type="even" r:id="rId25"/>
      <w:footerReference w:type="even" r:id="rId26"/>
      <w:type w:val="evenPage"/>
      <w:pgSz w:w="11906" w:h="16838" w:code="9"/>
      <w:pgMar w:top="1049" w:right="1616" w:bottom="1474" w:left="1616" w:header="595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4538A" w14:textId="77777777" w:rsidR="00A835ED" w:rsidRDefault="00A835ED" w:rsidP="00962258">
      <w:pPr>
        <w:spacing w:after="0" w:line="240" w:lineRule="auto"/>
      </w:pPr>
      <w:r>
        <w:separator/>
      </w:r>
    </w:p>
  </w:endnote>
  <w:endnote w:type="continuationSeparator" w:id="0">
    <w:p w14:paraId="2DE65821" w14:textId="77777777" w:rsidR="00A835ED" w:rsidRDefault="00A835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79964" w14:textId="77777777" w:rsidR="00C16554" w:rsidRPr="00B8518B" w:rsidRDefault="00C16554" w:rsidP="00460660">
    <w:pPr>
      <w:pStyle w:val="Zpat"/>
      <w:rPr>
        <w:sz w:val="2"/>
        <w:szCs w:val="2"/>
      </w:rPr>
    </w:pPr>
  </w:p>
  <w:p w14:paraId="48C461BA" w14:textId="77777777" w:rsidR="00C16554" w:rsidRPr="00460660" w:rsidRDefault="00C1655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4194F" w14:textId="77777777" w:rsidR="00C16554" w:rsidRPr="00991579" w:rsidRDefault="00C16554" w:rsidP="0099157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61F49" w14:textId="2C4E0972" w:rsidR="00C16554" w:rsidRPr="00074DA2" w:rsidRDefault="00C16554" w:rsidP="00991579">
    <w:pPr>
      <w:pStyle w:val="Zpat"/>
    </w:pPr>
    <w:r w:rsidRPr="005850DB">
      <w:rPr>
        <w:rStyle w:val="slostrnky"/>
      </w:rPr>
      <w:fldChar w:fldCharType="begin"/>
    </w:r>
    <w:r w:rsidRPr="005850DB">
      <w:rPr>
        <w:rStyle w:val="slostrnky"/>
      </w:rPr>
      <w:instrText>PAGE   \* MERGEFORMAT</w:instrText>
    </w:r>
    <w:r w:rsidRPr="005850DB">
      <w:rPr>
        <w:rStyle w:val="slostrnky"/>
      </w:rPr>
      <w:fldChar w:fldCharType="separate"/>
    </w:r>
    <w:r w:rsidR="00CC4EE6">
      <w:rPr>
        <w:rStyle w:val="slostrnky"/>
        <w:noProof/>
      </w:rPr>
      <w:t>14</w:t>
    </w:r>
    <w:r w:rsidRPr="005850DB">
      <w:rPr>
        <w:rStyle w:val="slostrnky"/>
      </w:rPr>
      <w:fldChar w:fldCharType="end"/>
    </w:r>
    <w:r w:rsidRPr="005850DB">
      <w:rPr>
        <w:rStyle w:val="slostrnky"/>
      </w:rPr>
      <w:t>/</w:t>
    </w:r>
    <w:r w:rsidRPr="005850DB">
      <w:rPr>
        <w:rStyle w:val="slostrnky"/>
      </w:rPr>
      <w:fldChar w:fldCharType="begin"/>
    </w:r>
    <w:r w:rsidRPr="005850DB">
      <w:rPr>
        <w:rStyle w:val="slostrnky"/>
      </w:rPr>
      <w:instrText xml:space="preserve"> NUMPAGES   \* MERGEFORMAT </w:instrText>
    </w:r>
    <w:r w:rsidRPr="005850DB">
      <w:rPr>
        <w:rStyle w:val="slostrnky"/>
      </w:rPr>
      <w:fldChar w:fldCharType="separate"/>
    </w:r>
    <w:r w:rsidR="00CC4EE6">
      <w:rPr>
        <w:rStyle w:val="slostrnky"/>
        <w:noProof/>
      </w:rPr>
      <w:t>18</w:t>
    </w:r>
    <w:r w:rsidRPr="005850DB">
      <w:rPr>
        <w:rStyle w:val="slostrnky"/>
      </w:rPr>
      <w:fldChar w:fldCharType="end"/>
    </w:r>
    <w:r w:rsidRPr="005850DB">
      <w:tab/>
    </w:r>
    <w:r>
      <w:t>„</w:t>
    </w:r>
    <w:r w:rsidRPr="00B97D88">
      <w:t>Rekonstrukce nástupišť v ŽST Valašské Meziříčí</w:t>
    </w:r>
    <w:r>
      <w:t xml:space="preserve">“, </w:t>
    </w:r>
    <w:r>
      <w:rPr>
        <w:rStyle w:val="ZpatChar"/>
      </w:rPr>
      <w:t>záměr projektu, příloha 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25E8E" w14:textId="0957B7D7" w:rsidR="00C16554" w:rsidRPr="005F4418" w:rsidRDefault="00C16554" w:rsidP="00D9228A">
    <w:pPr>
      <w:pStyle w:val="Zpat"/>
      <w:jc w:val="center"/>
    </w:pPr>
    <w:r>
      <w:t>„</w:t>
    </w:r>
    <w:r w:rsidRPr="00B97D88">
      <w:t>Rekonstrukce nástupišť v ŽST Valašské Meziříčí</w:t>
    </w:r>
    <w:r>
      <w:t xml:space="preserve">“, </w:t>
    </w:r>
    <w:r>
      <w:rPr>
        <w:rStyle w:val="ZpatChar"/>
      </w:rPr>
      <w:t>záměr projektu, příloha C</w:t>
    </w:r>
    <w:r>
      <w:tab/>
    </w:r>
    <w:r>
      <w:tab/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CC4EE6">
      <w:rPr>
        <w:rStyle w:val="slostrnky"/>
        <w:noProof/>
      </w:rPr>
      <w:t>15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CC4EE6">
      <w:rPr>
        <w:rStyle w:val="slostrnky"/>
        <w:noProof/>
      </w:rPr>
      <w:t>18</w:t>
    </w:r>
    <w:r w:rsidRPr="00B8518B">
      <w:rPr>
        <w:rStyle w:val="slostrnk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214"/>
    </w:tblGrid>
    <w:tr w:rsidR="00C16554" w14:paraId="0E86379C" w14:textId="77777777" w:rsidTr="005B4D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3F5892" w14:textId="39014E53" w:rsidR="00C16554" w:rsidRPr="00B8518B" w:rsidRDefault="00C16554" w:rsidP="0057364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921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935C2FD" w14:textId="4DFB7966" w:rsidR="00C16554" w:rsidRDefault="00C16554" w:rsidP="005B4D80">
          <w:pPr>
            <w:ind w:right="285"/>
          </w:pPr>
          <w:sdt>
            <w:sdtPr>
              <w:alias w:val="Title"/>
              <w:tag w:val=""/>
              <w:id w:val="1962062565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t>Záměr projektu</w:t>
              </w:r>
            </w:sdtContent>
          </w:sdt>
        </w:p>
      </w:tc>
    </w:tr>
  </w:tbl>
  <w:p w14:paraId="4E100B07" w14:textId="77777777" w:rsidR="00C16554" w:rsidRPr="00B8518B" w:rsidRDefault="00C16554" w:rsidP="00460660">
    <w:pPr>
      <w:pStyle w:val="Zpat"/>
      <w:rPr>
        <w:sz w:val="2"/>
        <w:szCs w:val="2"/>
      </w:rPr>
    </w:pPr>
  </w:p>
  <w:p w14:paraId="5883DD97" w14:textId="77777777" w:rsidR="00C16554" w:rsidRPr="00460660" w:rsidRDefault="00C16554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FFC30" w14:textId="0F522C0C" w:rsidR="00C16554" w:rsidRPr="005850DB" w:rsidRDefault="00C16554" w:rsidP="005850DB">
    <w:pPr>
      <w:pStyle w:val="Zpat"/>
      <w:rPr>
        <w:color w:val="FFFFFF" w:themeColor="background1"/>
      </w:rPr>
    </w:pPr>
    <w:r w:rsidRPr="005850DB">
      <w:rPr>
        <w:rStyle w:val="slostrnky"/>
        <w:color w:val="FFFFFF" w:themeColor="background1"/>
      </w:rPr>
      <w:fldChar w:fldCharType="begin"/>
    </w:r>
    <w:r w:rsidRPr="005850DB">
      <w:rPr>
        <w:rStyle w:val="slostrnky"/>
        <w:color w:val="FFFFFF" w:themeColor="background1"/>
      </w:rPr>
      <w:instrText>PAGE   \* MERGEFORMAT</w:instrText>
    </w:r>
    <w:r w:rsidRPr="005850DB">
      <w:rPr>
        <w:rStyle w:val="slostrnky"/>
        <w:color w:val="FFFFFF" w:themeColor="background1"/>
      </w:rPr>
      <w:fldChar w:fldCharType="separate"/>
    </w:r>
    <w:r w:rsidR="00CC4EE6">
      <w:rPr>
        <w:rStyle w:val="slostrnky"/>
        <w:noProof/>
        <w:color w:val="FFFFFF" w:themeColor="background1"/>
      </w:rPr>
      <w:t>16</w:t>
    </w:r>
    <w:r w:rsidRPr="005850DB">
      <w:rPr>
        <w:rStyle w:val="slostrnky"/>
        <w:color w:val="FFFFFF" w:themeColor="background1"/>
      </w:rPr>
      <w:fldChar w:fldCharType="end"/>
    </w:r>
    <w:r w:rsidRPr="005850DB">
      <w:rPr>
        <w:rStyle w:val="slostrnky"/>
        <w:color w:val="FFFFFF" w:themeColor="background1"/>
      </w:rPr>
      <w:t>/</w:t>
    </w:r>
    <w:r w:rsidRPr="005850DB">
      <w:rPr>
        <w:rStyle w:val="slostrnky"/>
        <w:color w:val="FFFFFF" w:themeColor="background1"/>
      </w:rPr>
      <w:fldChar w:fldCharType="begin"/>
    </w:r>
    <w:r w:rsidRPr="005850DB">
      <w:rPr>
        <w:rStyle w:val="slostrnky"/>
        <w:color w:val="FFFFFF" w:themeColor="background1"/>
      </w:rPr>
      <w:instrText xml:space="preserve"> NUMPAGES   \* MERGEFORMAT </w:instrText>
    </w:r>
    <w:r w:rsidRPr="005850DB">
      <w:rPr>
        <w:rStyle w:val="slostrnky"/>
        <w:color w:val="FFFFFF" w:themeColor="background1"/>
      </w:rPr>
      <w:fldChar w:fldCharType="separate"/>
    </w:r>
    <w:r w:rsidR="00CC4EE6">
      <w:rPr>
        <w:rStyle w:val="slostrnky"/>
        <w:noProof/>
        <w:color w:val="FFFFFF" w:themeColor="background1"/>
      </w:rPr>
      <w:t>18</w:t>
    </w:r>
    <w:r w:rsidRPr="005850DB">
      <w:rPr>
        <w:rStyle w:val="slostrnky"/>
        <w:color w:val="FFFFFF" w:themeColor="background1"/>
      </w:rPr>
      <w:fldChar w:fldCharType="end"/>
    </w:r>
    <w:r w:rsidRPr="005850DB">
      <w:rPr>
        <w:color w:val="FFFFFF" w:themeColor="background1"/>
      </w:rPr>
      <w:tab/>
    </w:r>
    <w:r w:rsidRPr="005850DB">
      <w:rPr>
        <w:color w:val="FFFFFF" w:themeColor="background1"/>
      </w:rPr>
      <w:fldChar w:fldCharType="begin"/>
    </w:r>
    <w:r w:rsidRPr="005850DB">
      <w:rPr>
        <w:color w:val="FFFFFF" w:themeColor="background1"/>
      </w:rPr>
      <w:instrText xml:space="preserve"> STYLEREF  Název \t  \* MERGEFORMAT </w:instrText>
    </w:r>
    <w:r w:rsidRPr="005850DB">
      <w:rPr>
        <w:color w:val="FFFFFF" w:themeColor="background1"/>
      </w:rPr>
      <w:fldChar w:fldCharType="separate"/>
    </w:r>
    <w:r w:rsidR="00CC4EE6" w:rsidRPr="00CC4EE6">
      <w:rPr>
        <w:b/>
        <w:bCs/>
        <w:noProof/>
        <w:color w:val="FFFFFF" w:themeColor="background1"/>
      </w:rPr>
      <w:t>Záměr projektu</w:t>
    </w:r>
    <w:r w:rsidRPr="005850DB">
      <w:rPr>
        <w:color w:val="FFFFFF" w:themeColor="background1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58354" w14:textId="4B671144" w:rsidR="00C16554" w:rsidRPr="00B02CF9" w:rsidRDefault="00C16554" w:rsidP="005F4418">
    <w:pPr>
      <w:tabs>
        <w:tab w:val="right" w:pos="7825"/>
        <w:tab w:val="right" w:pos="8675"/>
      </w:tabs>
      <w:jc w:val="right"/>
      <w:rPr>
        <w:color w:val="FFFFFF" w:themeColor="background1"/>
      </w:rPr>
    </w:pPr>
    <w:r w:rsidRPr="00B02CF9">
      <w:rPr>
        <w:rStyle w:val="ZpatChar"/>
        <w:color w:val="FFFFFF" w:themeColor="background1"/>
      </w:rPr>
      <w:tab/>
    </w:r>
    <w:r w:rsidRPr="00B02CF9">
      <w:rPr>
        <w:rStyle w:val="ZpatChar"/>
        <w:color w:val="FFFFFF" w:themeColor="background1"/>
      </w:rPr>
      <w:fldChar w:fldCharType="begin"/>
    </w:r>
    <w:r w:rsidRPr="00B02CF9">
      <w:rPr>
        <w:rStyle w:val="ZpatChar"/>
        <w:color w:val="FFFFFF" w:themeColor="background1"/>
      </w:rPr>
      <w:instrText xml:space="preserve"> STYLEREF  Název \t  \* MERGEFORMAT </w:instrText>
    </w:r>
    <w:r w:rsidRPr="00B02CF9">
      <w:rPr>
        <w:rStyle w:val="ZpatChar"/>
        <w:color w:val="FFFFFF" w:themeColor="background1"/>
      </w:rPr>
      <w:fldChar w:fldCharType="separate"/>
    </w:r>
    <w:r w:rsidR="00CC4EE6" w:rsidRPr="00CC4EE6">
      <w:rPr>
        <w:rStyle w:val="ZpatChar"/>
        <w:b/>
        <w:bCs/>
        <w:noProof/>
        <w:color w:val="FFFFFF" w:themeColor="background1"/>
      </w:rPr>
      <w:t>Záměr projektu</w:t>
    </w:r>
    <w:r w:rsidRPr="00B02CF9">
      <w:rPr>
        <w:rStyle w:val="ZpatChar"/>
        <w:color w:val="FFFFFF" w:themeColor="background1"/>
      </w:rPr>
      <w:fldChar w:fldCharType="end"/>
    </w:r>
    <w:r w:rsidRPr="00B02CF9">
      <w:rPr>
        <w:color w:val="FFFFFF" w:themeColor="background1"/>
      </w:rPr>
      <w:tab/>
    </w:r>
    <w:r w:rsidRPr="00B02CF9">
      <w:rPr>
        <w:rStyle w:val="slostrnky"/>
        <w:color w:val="FFFFFF" w:themeColor="background1"/>
      </w:rPr>
      <w:fldChar w:fldCharType="begin"/>
    </w:r>
    <w:r w:rsidRPr="00B02CF9">
      <w:rPr>
        <w:rStyle w:val="slostrnky"/>
        <w:color w:val="FFFFFF" w:themeColor="background1"/>
      </w:rPr>
      <w:instrText>PAGE   \* MERGEFORMAT</w:instrText>
    </w:r>
    <w:r w:rsidRPr="00B02CF9">
      <w:rPr>
        <w:rStyle w:val="slostrnky"/>
        <w:color w:val="FFFFFF" w:themeColor="background1"/>
      </w:rPr>
      <w:fldChar w:fldCharType="separate"/>
    </w:r>
    <w:r w:rsidR="00CC4EE6">
      <w:rPr>
        <w:rStyle w:val="slostrnky"/>
        <w:noProof/>
        <w:color w:val="FFFFFF" w:themeColor="background1"/>
      </w:rPr>
      <w:t>17</w:t>
    </w:r>
    <w:r w:rsidRPr="00B02CF9">
      <w:rPr>
        <w:rStyle w:val="slostrnky"/>
        <w:color w:val="FFFFFF" w:themeColor="background1"/>
      </w:rPr>
      <w:fldChar w:fldCharType="end"/>
    </w:r>
    <w:r w:rsidRPr="00B02CF9">
      <w:rPr>
        <w:rStyle w:val="slostrnky"/>
        <w:color w:val="FFFFFF" w:themeColor="background1"/>
      </w:rPr>
      <w:t>/</w:t>
    </w:r>
    <w:r w:rsidRPr="00B02CF9">
      <w:rPr>
        <w:rStyle w:val="slostrnky"/>
        <w:color w:val="FFFFFF" w:themeColor="background1"/>
      </w:rPr>
      <w:fldChar w:fldCharType="begin"/>
    </w:r>
    <w:r w:rsidRPr="00B02CF9">
      <w:rPr>
        <w:rStyle w:val="slostrnky"/>
        <w:color w:val="FFFFFF" w:themeColor="background1"/>
      </w:rPr>
      <w:instrText xml:space="preserve"> NUMPAGES   \* MERGEFORMAT </w:instrText>
    </w:r>
    <w:r w:rsidRPr="00B02CF9">
      <w:rPr>
        <w:rStyle w:val="slostrnky"/>
        <w:color w:val="FFFFFF" w:themeColor="background1"/>
      </w:rPr>
      <w:fldChar w:fldCharType="separate"/>
    </w:r>
    <w:r w:rsidR="00CC4EE6">
      <w:rPr>
        <w:rStyle w:val="slostrnky"/>
        <w:noProof/>
        <w:color w:val="FFFFFF" w:themeColor="background1"/>
      </w:rPr>
      <w:t>18</w:t>
    </w:r>
    <w:r w:rsidRPr="00B02CF9">
      <w:rPr>
        <w:rStyle w:val="slostrnky"/>
        <w:color w:val="FFFFFF" w:themeColor="background1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ulkaodvolacchadoplujcchdaj"/>
      <w:tblW w:w="0" w:type="auto"/>
      <w:tblCellMar>
        <w:top w:w="0" w:type="dxa"/>
        <w:bottom w:w="0" w:type="dxa"/>
      </w:tblCellMar>
      <w:tblLook w:val="04A0" w:firstRow="1" w:lastRow="0" w:firstColumn="1" w:lastColumn="0" w:noHBand="0" w:noVBand="1"/>
    </w:tblPr>
    <w:tblGrid>
      <w:gridCol w:w="8674"/>
    </w:tblGrid>
    <w:tr w:rsidR="00C16554" w:rsidRPr="00A812B8" w14:paraId="62C34B74" w14:textId="77777777" w:rsidTr="00331E6D">
      <w:trPr>
        <w:trHeight w:val="170"/>
      </w:trPr>
      <w:tc>
        <w:tcPr>
          <w:tcW w:w="8814" w:type="dxa"/>
          <w:shd w:val="clear" w:color="auto" w:fill="002B59" w:themeFill="accent1"/>
        </w:tcPr>
        <w:p w14:paraId="1D29AC4A" w14:textId="77777777" w:rsidR="00C16554" w:rsidRPr="00A812B8" w:rsidRDefault="00C16554" w:rsidP="00A812B8">
          <w:pPr>
            <w:rPr>
              <w:sz w:val="6"/>
              <w:szCs w:val="6"/>
            </w:rPr>
          </w:pPr>
        </w:p>
      </w:tc>
    </w:tr>
    <w:tr w:rsidR="00C16554" w14:paraId="2170D7AD" w14:textId="77777777" w:rsidTr="00331E6D">
      <w:trPr>
        <w:trHeight w:val="2239"/>
      </w:trPr>
      <w:tc>
        <w:tcPr>
          <w:tcW w:w="8814" w:type="dxa"/>
        </w:tcPr>
        <w:p w14:paraId="7932804C" w14:textId="77777777" w:rsidR="00C16554" w:rsidRPr="00331E6D" w:rsidRDefault="00C16554" w:rsidP="00331E6D">
          <w:pPr>
            <w:pStyle w:val="Zpat"/>
            <w:spacing w:before="320"/>
            <w:rPr>
              <w:b/>
              <w:sz w:val="30"/>
              <w:szCs w:val="30"/>
            </w:rPr>
          </w:pPr>
          <w:hyperlink r:id="rId1" w:history="1">
            <w:r>
              <w:rPr>
                <w:rStyle w:val="Hypertextovodkaz"/>
                <w:b/>
                <w:color w:val="00A1E0" w:themeColor="accent3"/>
                <w:sz w:val="30"/>
                <w:szCs w:val="30"/>
                <w:u w:val="none"/>
              </w:rPr>
              <w:t>spravazeleznic</w:t>
            </w:r>
            <w:r w:rsidRPr="00331E6D">
              <w:rPr>
                <w:rStyle w:val="Hypertextovodkaz"/>
                <w:b/>
                <w:color w:val="00A1E0" w:themeColor="accent3"/>
                <w:sz w:val="30"/>
                <w:szCs w:val="30"/>
                <w:u w:val="none"/>
              </w:rPr>
              <w:t>.cz</w:t>
            </w:r>
          </w:hyperlink>
        </w:p>
      </w:tc>
    </w:tr>
  </w:tbl>
  <w:p w14:paraId="010EC944" w14:textId="77777777" w:rsidR="00C16554" w:rsidRPr="00A812B8" w:rsidRDefault="00C16554" w:rsidP="00A812B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BA6FE" w14:textId="77777777" w:rsidR="00A835ED" w:rsidRDefault="00A835ED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361444F1" w14:textId="77777777" w:rsidR="00A835ED" w:rsidRDefault="00A835ED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16554" w14:paraId="4E712249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6C0686EE" w14:textId="77777777" w:rsidR="00C16554" w:rsidRDefault="00C16554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517346D4" w14:textId="77777777" w:rsidR="00C16554" w:rsidRPr="00D31458" w:rsidRDefault="00C16554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1" layoutInCell="1" allowOverlap="1" wp14:anchorId="0CAB0D71" wp14:editId="192F593E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53D1A3E" w14:textId="77777777" w:rsidR="00C16554" w:rsidRPr="00D6163D" w:rsidRDefault="00C1655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16554" w:rsidRPr="005F4418" w14:paraId="3B942EBC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C302DDF" w14:textId="77777777" w:rsidR="00C16554" w:rsidRDefault="00C16554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1F5C862D" w14:textId="77777777" w:rsidR="00C16554" w:rsidRPr="005F4418" w:rsidRDefault="00C16554" w:rsidP="005F4418">
          <w:r w:rsidRPr="005F4418">
            <w:rPr>
              <w:noProof/>
              <w:lang w:eastAsia="cs-CZ"/>
            </w:rPr>
            <w:drawing>
              <wp:anchor distT="0" distB="0" distL="114300" distR="114300" simplePos="0" relativeHeight="251656192" behindDoc="0" locked="1" layoutInCell="1" allowOverlap="1" wp14:anchorId="487F6FA9" wp14:editId="5BEB773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ED1B997" w14:textId="77777777" w:rsidR="00C16554" w:rsidRPr="00D6163D" w:rsidRDefault="00C16554" w:rsidP="00FC6389">
    <w:pPr>
      <w:pStyle w:val="Zhlav"/>
      <w:rPr>
        <w:sz w:val="8"/>
        <w:szCs w:val="8"/>
      </w:rPr>
    </w:pPr>
  </w:p>
  <w:p w14:paraId="0EC9A0C9" w14:textId="77777777" w:rsidR="00C16554" w:rsidRPr="00460660" w:rsidRDefault="00C1655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8526B" w14:textId="77777777" w:rsidR="00C16554" w:rsidRDefault="00C1655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C16554" w14:paraId="646CE75E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CF267F0" w14:textId="77777777" w:rsidR="00C16554" w:rsidRDefault="00C16554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3A8A3DAD" w14:textId="77777777" w:rsidR="00C16554" w:rsidRPr="00D31458" w:rsidRDefault="00C16554" w:rsidP="00D31458"/>
      </w:tc>
    </w:tr>
  </w:tbl>
  <w:p w14:paraId="40F4F2F7" w14:textId="77777777" w:rsidR="00C16554" w:rsidRPr="00D6163D" w:rsidRDefault="00C16554" w:rsidP="00FC6389">
    <w:pPr>
      <w:pStyle w:val="Zhlav"/>
      <w:rPr>
        <w:sz w:val="8"/>
        <w:szCs w:val="8"/>
      </w:rPr>
    </w:pPr>
  </w:p>
  <w:p w14:paraId="1019C433" w14:textId="77777777" w:rsidR="00C16554" w:rsidRPr="00460660" w:rsidRDefault="00C16554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66B6D" w14:textId="77777777" w:rsidR="00C16554" w:rsidRPr="00D6163D" w:rsidRDefault="00C16554">
    <w:pPr>
      <w:pStyle w:val="Zhlav"/>
      <w:rPr>
        <w:sz w:val="8"/>
        <w:szCs w:val="8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16554" w14:paraId="3D1CD62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121258" w14:textId="77777777" w:rsidR="00C16554" w:rsidRPr="00B8518B" w:rsidRDefault="00C1655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568592" w14:textId="77777777" w:rsidR="00C16554" w:rsidRDefault="00C1655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4F1671" w14:textId="77777777" w:rsidR="00C16554" w:rsidRPr="00D6163D" w:rsidRDefault="00C16554" w:rsidP="00FC6389">
          <w:pPr>
            <w:pStyle w:val="Druhdokumentu"/>
          </w:pPr>
        </w:p>
      </w:tc>
    </w:tr>
    <w:tr w:rsidR="00C16554" w14:paraId="0F840A1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51501F" w14:textId="77777777" w:rsidR="00C16554" w:rsidRPr="00B8518B" w:rsidRDefault="00C1655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7B6B96" w14:textId="77777777" w:rsidR="00C16554" w:rsidRDefault="00C1655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DB276B" w14:textId="77777777" w:rsidR="00C16554" w:rsidRPr="00D6163D" w:rsidRDefault="00C16554" w:rsidP="00FC6389">
          <w:pPr>
            <w:pStyle w:val="Druhdokumentu"/>
          </w:pPr>
        </w:p>
      </w:tc>
    </w:tr>
  </w:tbl>
  <w:p w14:paraId="5784D6FF" w14:textId="77777777" w:rsidR="00C16554" w:rsidRPr="00D6163D" w:rsidRDefault="00C16554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7348EF16" wp14:editId="5009201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3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38D406" w14:textId="77777777" w:rsidR="00C16554" w:rsidRPr="00460660" w:rsidRDefault="00C16554">
    <w:pPr>
      <w:pStyle w:val="Zhlav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2DEA0" w14:textId="77777777" w:rsidR="00C16554" w:rsidRDefault="00C165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D3022E"/>
    <w:multiLevelType w:val="hybridMultilevel"/>
    <w:tmpl w:val="E71E2864"/>
    <w:lvl w:ilvl="0" w:tplc="4776C66E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9C82827"/>
    <w:multiLevelType w:val="hybridMultilevel"/>
    <w:tmpl w:val="2D9044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A59C4"/>
    <w:multiLevelType w:val="multilevel"/>
    <w:tmpl w:val="0D34D660"/>
    <w:numStyleLink w:val="ListBulletmultilevel"/>
  </w:abstractNum>
  <w:abstractNum w:abstractNumId="5" w15:restartNumberingAfterBreak="0">
    <w:nsid w:val="59C1789A"/>
    <w:multiLevelType w:val="hybridMultilevel"/>
    <w:tmpl w:val="91862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804EF"/>
    <w:multiLevelType w:val="multilevel"/>
    <w:tmpl w:val="EF06510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6E347E82"/>
    <w:multiLevelType w:val="multilevel"/>
    <w:tmpl w:val="CABE99FC"/>
    <w:numStyleLink w:val="ListNumbermultilevel"/>
  </w:abstractNum>
  <w:abstractNum w:abstractNumId="8" w15:restartNumberingAfterBreak="0">
    <w:nsid w:val="79CB257A"/>
    <w:multiLevelType w:val="hybridMultilevel"/>
    <w:tmpl w:val="F53EEA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attachedTemplate r:id="rId1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AE"/>
    <w:rsid w:val="000040BF"/>
    <w:rsid w:val="00005E84"/>
    <w:rsid w:val="000073C3"/>
    <w:rsid w:val="000115F6"/>
    <w:rsid w:val="0001550B"/>
    <w:rsid w:val="000206BE"/>
    <w:rsid w:val="000208C7"/>
    <w:rsid w:val="00021FCF"/>
    <w:rsid w:val="00021FD5"/>
    <w:rsid w:val="00024DA8"/>
    <w:rsid w:val="000324C2"/>
    <w:rsid w:val="00040DD5"/>
    <w:rsid w:val="00041A68"/>
    <w:rsid w:val="0004335E"/>
    <w:rsid w:val="00050FDD"/>
    <w:rsid w:val="00051ED9"/>
    <w:rsid w:val="00052605"/>
    <w:rsid w:val="00053AC5"/>
    <w:rsid w:val="00056217"/>
    <w:rsid w:val="00060DF6"/>
    <w:rsid w:val="00061D22"/>
    <w:rsid w:val="0006436D"/>
    <w:rsid w:val="00065B41"/>
    <w:rsid w:val="0006607A"/>
    <w:rsid w:val="000666EA"/>
    <w:rsid w:val="000666FF"/>
    <w:rsid w:val="00066D89"/>
    <w:rsid w:val="0006768F"/>
    <w:rsid w:val="00072244"/>
    <w:rsid w:val="00072C1E"/>
    <w:rsid w:val="00074DA2"/>
    <w:rsid w:val="00075590"/>
    <w:rsid w:val="0007673F"/>
    <w:rsid w:val="00081652"/>
    <w:rsid w:val="00082CFE"/>
    <w:rsid w:val="00083102"/>
    <w:rsid w:val="0008621B"/>
    <w:rsid w:val="00095E60"/>
    <w:rsid w:val="00096DB8"/>
    <w:rsid w:val="00096F9A"/>
    <w:rsid w:val="00097EE5"/>
    <w:rsid w:val="000A275E"/>
    <w:rsid w:val="000A28E4"/>
    <w:rsid w:val="000A2CE8"/>
    <w:rsid w:val="000A51EC"/>
    <w:rsid w:val="000A5B78"/>
    <w:rsid w:val="000A7701"/>
    <w:rsid w:val="000B1FCB"/>
    <w:rsid w:val="000B2371"/>
    <w:rsid w:val="000B4EB8"/>
    <w:rsid w:val="000B51D5"/>
    <w:rsid w:val="000B5913"/>
    <w:rsid w:val="000B5958"/>
    <w:rsid w:val="000B5A4C"/>
    <w:rsid w:val="000B75A1"/>
    <w:rsid w:val="000B7A19"/>
    <w:rsid w:val="000C10A4"/>
    <w:rsid w:val="000C26A6"/>
    <w:rsid w:val="000C2D17"/>
    <w:rsid w:val="000C3E1B"/>
    <w:rsid w:val="000C4141"/>
    <w:rsid w:val="000C41F2"/>
    <w:rsid w:val="000C4F84"/>
    <w:rsid w:val="000C6E89"/>
    <w:rsid w:val="000C7C9E"/>
    <w:rsid w:val="000D22C4"/>
    <w:rsid w:val="000D27D1"/>
    <w:rsid w:val="000D3BE8"/>
    <w:rsid w:val="000D572F"/>
    <w:rsid w:val="000E18D0"/>
    <w:rsid w:val="000E2771"/>
    <w:rsid w:val="000E3C42"/>
    <w:rsid w:val="000E488A"/>
    <w:rsid w:val="000E6E63"/>
    <w:rsid w:val="000E7E36"/>
    <w:rsid w:val="000F15AA"/>
    <w:rsid w:val="000F215C"/>
    <w:rsid w:val="000F25EE"/>
    <w:rsid w:val="000F2A5F"/>
    <w:rsid w:val="000F5350"/>
    <w:rsid w:val="000F5B61"/>
    <w:rsid w:val="000F6870"/>
    <w:rsid w:val="000F753C"/>
    <w:rsid w:val="00102AD5"/>
    <w:rsid w:val="00104860"/>
    <w:rsid w:val="00104C33"/>
    <w:rsid w:val="001059DE"/>
    <w:rsid w:val="001075A3"/>
    <w:rsid w:val="0011232E"/>
    <w:rsid w:val="00114472"/>
    <w:rsid w:val="0011472C"/>
    <w:rsid w:val="001150F2"/>
    <w:rsid w:val="00116B16"/>
    <w:rsid w:val="00120D55"/>
    <w:rsid w:val="00122F3B"/>
    <w:rsid w:val="0012432C"/>
    <w:rsid w:val="0013021C"/>
    <w:rsid w:val="00131091"/>
    <w:rsid w:val="00133A64"/>
    <w:rsid w:val="00134209"/>
    <w:rsid w:val="00136EAB"/>
    <w:rsid w:val="001443E6"/>
    <w:rsid w:val="00144FED"/>
    <w:rsid w:val="00145303"/>
    <w:rsid w:val="0014580A"/>
    <w:rsid w:val="0014707C"/>
    <w:rsid w:val="001505D3"/>
    <w:rsid w:val="00150ED7"/>
    <w:rsid w:val="00151FD1"/>
    <w:rsid w:val="00153DDE"/>
    <w:rsid w:val="0015455A"/>
    <w:rsid w:val="001566DC"/>
    <w:rsid w:val="0015738A"/>
    <w:rsid w:val="00160AED"/>
    <w:rsid w:val="0016104F"/>
    <w:rsid w:val="001614A2"/>
    <w:rsid w:val="00162371"/>
    <w:rsid w:val="001633F5"/>
    <w:rsid w:val="00164C7C"/>
    <w:rsid w:val="0016616C"/>
    <w:rsid w:val="0016786C"/>
    <w:rsid w:val="001678BE"/>
    <w:rsid w:val="0017002F"/>
    <w:rsid w:val="00170EC5"/>
    <w:rsid w:val="001727B9"/>
    <w:rsid w:val="001747C1"/>
    <w:rsid w:val="0017508F"/>
    <w:rsid w:val="0017582E"/>
    <w:rsid w:val="0017721E"/>
    <w:rsid w:val="0017743C"/>
    <w:rsid w:val="00177B43"/>
    <w:rsid w:val="00184319"/>
    <w:rsid w:val="001847C1"/>
    <w:rsid w:val="00190831"/>
    <w:rsid w:val="001917B7"/>
    <w:rsid w:val="0019187B"/>
    <w:rsid w:val="00193398"/>
    <w:rsid w:val="0019468F"/>
    <w:rsid w:val="00194DE0"/>
    <w:rsid w:val="0019618B"/>
    <w:rsid w:val="0019745D"/>
    <w:rsid w:val="001A0061"/>
    <w:rsid w:val="001A640E"/>
    <w:rsid w:val="001A72E6"/>
    <w:rsid w:val="001B4E74"/>
    <w:rsid w:val="001B7F86"/>
    <w:rsid w:val="001C0157"/>
    <w:rsid w:val="001C0B8E"/>
    <w:rsid w:val="001C375D"/>
    <w:rsid w:val="001C4612"/>
    <w:rsid w:val="001C7A71"/>
    <w:rsid w:val="001C7D0E"/>
    <w:rsid w:val="001D3B9A"/>
    <w:rsid w:val="001D40FC"/>
    <w:rsid w:val="001D41F3"/>
    <w:rsid w:val="001E0CDA"/>
    <w:rsid w:val="001E32F8"/>
    <w:rsid w:val="001F388A"/>
    <w:rsid w:val="001F5676"/>
    <w:rsid w:val="001F60E2"/>
    <w:rsid w:val="001F6690"/>
    <w:rsid w:val="00200CE4"/>
    <w:rsid w:val="00200F29"/>
    <w:rsid w:val="00201545"/>
    <w:rsid w:val="00201889"/>
    <w:rsid w:val="0020269E"/>
    <w:rsid w:val="00204271"/>
    <w:rsid w:val="00206FE1"/>
    <w:rsid w:val="00207DF5"/>
    <w:rsid w:val="00210158"/>
    <w:rsid w:val="002114AC"/>
    <w:rsid w:val="00211FC8"/>
    <w:rsid w:val="00213AE1"/>
    <w:rsid w:val="002142A9"/>
    <w:rsid w:val="00217350"/>
    <w:rsid w:val="00217CB2"/>
    <w:rsid w:val="002201DD"/>
    <w:rsid w:val="00221422"/>
    <w:rsid w:val="00225D2C"/>
    <w:rsid w:val="00230736"/>
    <w:rsid w:val="0023104A"/>
    <w:rsid w:val="00236697"/>
    <w:rsid w:val="00241E7A"/>
    <w:rsid w:val="00242AFE"/>
    <w:rsid w:val="00246983"/>
    <w:rsid w:val="00251275"/>
    <w:rsid w:val="002522A1"/>
    <w:rsid w:val="00252396"/>
    <w:rsid w:val="002529B5"/>
    <w:rsid w:val="00253FA0"/>
    <w:rsid w:val="002543A7"/>
    <w:rsid w:val="0025730D"/>
    <w:rsid w:val="00260191"/>
    <w:rsid w:val="00261321"/>
    <w:rsid w:val="00261A5B"/>
    <w:rsid w:val="00262DB0"/>
    <w:rsid w:val="00263E64"/>
    <w:rsid w:val="002649A6"/>
    <w:rsid w:val="00273C8A"/>
    <w:rsid w:val="002767D9"/>
    <w:rsid w:val="002779C0"/>
    <w:rsid w:val="00277A1E"/>
    <w:rsid w:val="00281BF0"/>
    <w:rsid w:val="002828AC"/>
    <w:rsid w:val="002837CB"/>
    <w:rsid w:val="002905B2"/>
    <w:rsid w:val="00291AED"/>
    <w:rsid w:val="00292C8A"/>
    <w:rsid w:val="00296957"/>
    <w:rsid w:val="002977A0"/>
    <w:rsid w:val="002A3FF5"/>
    <w:rsid w:val="002A63A6"/>
    <w:rsid w:val="002A7F11"/>
    <w:rsid w:val="002B0C3D"/>
    <w:rsid w:val="002B2083"/>
    <w:rsid w:val="002B241B"/>
    <w:rsid w:val="002B480F"/>
    <w:rsid w:val="002B4FB1"/>
    <w:rsid w:val="002B5A36"/>
    <w:rsid w:val="002B6C1C"/>
    <w:rsid w:val="002B6F77"/>
    <w:rsid w:val="002B7AB8"/>
    <w:rsid w:val="002C1FDC"/>
    <w:rsid w:val="002C31BF"/>
    <w:rsid w:val="002C3212"/>
    <w:rsid w:val="002C436A"/>
    <w:rsid w:val="002C4E1B"/>
    <w:rsid w:val="002C4F19"/>
    <w:rsid w:val="002C584F"/>
    <w:rsid w:val="002C7443"/>
    <w:rsid w:val="002D0DFF"/>
    <w:rsid w:val="002D4586"/>
    <w:rsid w:val="002D4E16"/>
    <w:rsid w:val="002D5AD8"/>
    <w:rsid w:val="002D7D4E"/>
    <w:rsid w:val="002E0CD7"/>
    <w:rsid w:val="002E1697"/>
    <w:rsid w:val="002E21DC"/>
    <w:rsid w:val="002E4995"/>
    <w:rsid w:val="002E4FC9"/>
    <w:rsid w:val="002E7CB4"/>
    <w:rsid w:val="002F129C"/>
    <w:rsid w:val="002F3142"/>
    <w:rsid w:val="002F317F"/>
    <w:rsid w:val="002F5090"/>
    <w:rsid w:val="002F7EBD"/>
    <w:rsid w:val="00304F12"/>
    <w:rsid w:val="00306319"/>
    <w:rsid w:val="003073F2"/>
    <w:rsid w:val="00311290"/>
    <w:rsid w:val="00312417"/>
    <w:rsid w:val="00314C41"/>
    <w:rsid w:val="00314C86"/>
    <w:rsid w:val="003151CF"/>
    <w:rsid w:val="003178D9"/>
    <w:rsid w:val="00324031"/>
    <w:rsid w:val="00326844"/>
    <w:rsid w:val="00326AFB"/>
    <w:rsid w:val="003277E6"/>
    <w:rsid w:val="00327EEF"/>
    <w:rsid w:val="00331E6D"/>
    <w:rsid w:val="00332F9F"/>
    <w:rsid w:val="00333D55"/>
    <w:rsid w:val="00334698"/>
    <w:rsid w:val="00335F41"/>
    <w:rsid w:val="003379A4"/>
    <w:rsid w:val="0034229E"/>
    <w:rsid w:val="00342CE2"/>
    <w:rsid w:val="0034356D"/>
    <w:rsid w:val="0034719F"/>
    <w:rsid w:val="003471E2"/>
    <w:rsid w:val="003508FC"/>
    <w:rsid w:val="003554AE"/>
    <w:rsid w:val="00356171"/>
    <w:rsid w:val="003571D8"/>
    <w:rsid w:val="00357BC6"/>
    <w:rsid w:val="003600F1"/>
    <w:rsid w:val="00361422"/>
    <w:rsid w:val="00362B8A"/>
    <w:rsid w:val="00363624"/>
    <w:rsid w:val="003668A7"/>
    <w:rsid w:val="00366E9B"/>
    <w:rsid w:val="00370797"/>
    <w:rsid w:val="003739E0"/>
    <w:rsid w:val="00374336"/>
    <w:rsid w:val="0037469A"/>
    <w:rsid w:val="00375185"/>
    <w:rsid w:val="003812E5"/>
    <w:rsid w:val="00383114"/>
    <w:rsid w:val="00385273"/>
    <w:rsid w:val="00386286"/>
    <w:rsid w:val="0038740D"/>
    <w:rsid w:val="00392F8E"/>
    <w:rsid w:val="0039473F"/>
    <w:rsid w:val="003956C6"/>
    <w:rsid w:val="0039586F"/>
    <w:rsid w:val="003A0F35"/>
    <w:rsid w:val="003A3DA7"/>
    <w:rsid w:val="003A7BB5"/>
    <w:rsid w:val="003B4031"/>
    <w:rsid w:val="003B672D"/>
    <w:rsid w:val="003B724B"/>
    <w:rsid w:val="003C08C0"/>
    <w:rsid w:val="003C1789"/>
    <w:rsid w:val="003C1F77"/>
    <w:rsid w:val="003C296D"/>
    <w:rsid w:val="003C2A33"/>
    <w:rsid w:val="003C33F2"/>
    <w:rsid w:val="003D1DD3"/>
    <w:rsid w:val="003D309E"/>
    <w:rsid w:val="003D3780"/>
    <w:rsid w:val="003D5882"/>
    <w:rsid w:val="003D6781"/>
    <w:rsid w:val="003D679F"/>
    <w:rsid w:val="003E1B46"/>
    <w:rsid w:val="003E2370"/>
    <w:rsid w:val="003E41C5"/>
    <w:rsid w:val="003E68A6"/>
    <w:rsid w:val="003E70F9"/>
    <w:rsid w:val="003F099F"/>
    <w:rsid w:val="003F41E6"/>
    <w:rsid w:val="003F469B"/>
    <w:rsid w:val="00407EDF"/>
    <w:rsid w:val="004117F6"/>
    <w:rsid w:val="004118E9"/>
    <w:rsid w:val="004142EC"/>
    <w:rsid w:val="00414B26"/>
    <w:rsid w:val="00415034"/>
    <w:rsid w:val="00415FFF"/>
    <w:rsid w:val="00416432"/>
    <w:rsid w:val="004213C3"/>
    <w:rsid w:val="0042194D"/>
    <w:rsid w:val="0042279E"/>
    <w:rsid w:val="00422E17"/>
    <w:rsid w:val="00423B7C"/>
    <w:rsid w:val="00423E8A"/>
    <w:rsid w:val="0042488E"/>
    <w:rsid w:val="004261F2"/>
    <w:rsid w:val="00426543"/>
    <w:rsid w:val="004275FD"/>
    <w:rsid w:val="00432DAC"/>
    <w:rsid w:val="00436759"/>
    <w:rsid w:val="00436BD4"/>
    <w:rsid w:val="0044306D"/>
    <w:rsid w:val="00450F07"/>
    <w:rsid w:val="00453CD3"/>
    <w:rsid w:val="00454FA0"/>
    <w:rsid w:val="0045517D"/>
    <w:rsid w:val="00455E98"/>
    <w:rsid w:val="00456A2A"/>
    <w:rsid w:val="00460660"/>
    <w:rsid w:val="00461C85"/>
    <w:rsid w:val="004620ED"/>
    <w:rsid w:val="00462498"/>
    <w:rsid w:val="004635A2"/>
    <w:rsid w:val="00463EB9"/>
    <w:rsid w:val="00465115"/>
    <w:rsid w:val="0046592F"/>
    <w:rsid w:val="004659E4"/>
    <w:rsid w:val="00466A68"/>
    <w:rsid w:val="00474385"/>
    <w:rsid w:val="00474508"/>
    <w:rsid w:val="004832E2"/>
    <w:rsid w:val="00486107"/>
    <w:rsid w:val="00486263"/>
    <w:rsid w:val="00490C11"/>
    <w:rsid w:val="00491827"/>
    <w:rsid w:val="00493516"/>
    <w:rsid w:val="00496E3E"/>
    <w:rsid w:val="004A05B1"/>
    <w:rsid w:val="004A2488"/>
    <w:rsid w:val="004A252F"/>
    <w:rsid w:val="004A49A4"/>
    <w:rsid w:val="004A56C1"/>
    <w:rsid w:val="004A5B53"/>
    <w:rsid w:val="004A659C"/>
    <w:rsid w:val="004B0BE5"/>
    <w:rsid w:val="004B2902"/>
    <w:rsid w:val="004B432A"/>
    <w:rsid w:val="004B44AE"/>
    <w:rsid w:val="004B4D83"/>
    <w:rsid w:val="004B5178"/>
    <w:rsid w:val="004B6292"/>
    <w:rsid w:val="004B6359"/>
    <w:rsid w:val="004B67AC"/>
    <w:rsid w:val="004B70D7"/>
    <w:rsid w:val="004B7B28"/>
    <w:rsid w:val="004C22BA"/>
    <w:rsid w:val="004C4399"/>
    <w:rsid w:val="004C61C9"/>
    <w:rsid w:val="004C667A"/>
    <w:rsid w:val="004C7745"/>
    <w:rsid w:val="004C7876"/>
    <w:rsid w:val="004C787C"/>
    <w:rsid w:val="004D0288"/>
    <w:rsid w:val="004D238A"/>
    <w:rsid w:val="004D4380"/>
    <w:rsid w:val="004D468D"/>
    <w:rsid w:val="004D6BB1"/>
    <w:rsid w:val="004D79D9"/>
    <w:rsid w:val="004E02BB"/>
    <w:rsid w:val="004E066C"/>
    <w:rsid w:val="004E2B0F"/>
    <w:rsid w:val="004E35C3"/>
    <w:rsid w:val="004E5317"/>
    <w:rsid w:val="004E5CC7"/>
    <w:rsid w:val="004E6085"/>
    <w:rsid w:val="004E7A1F"/>
    <w:rsid w:val="004F0455"/>
    <w:rsid w:val="004F0746"/>
    <w:rsid w:val="004F1812"/>
    <w:rsid w:val="004F4B9B"/>
    <w:rsid w:val="004F5A8B"/>
    <w:rsid w:val="004F5BED"/>
    <w:rsid w:val="004F5ECB"/>
    <w:rsid w:val="004F6ED4"/>
    <w:rsid w:val="004F73EE"/>
    <w:rsid w:val="00500444"/>
    <w:rsid w:val="0050149D"/>
    <w:rsid w:val="00501FAB"/>
    <w:rsid w:val="005026BC"/>
    <w:rsid w:val="00502D15"/>
    <w:rsid w:val="005057F9"/>
    <w:rsid w:val="00510407"/>
    <w:rsid w:val="005114C3"/>
    <w:rsid w:val="00511AB9"/>
    <w:rsid w:val="00511AC8"/>
    <w:rsid w:val="00511DF8"/>
    <w:rsid w:val="00513144"/>
    <w:rsid w:val="00514CB2"/>
    <w:rsid w:val="00514F52"/>
    <w:rsid w:val="00516652"/>
    <w:rsid w:val="00517A42"/>
    <w:rsid w:val="00517EA7"/>
    <w:rsid w:val="0052172F"/>
    <w:rsid w:val="00522F50"/>
    <w:rsid w:val="0052383B"/>
    <w:rsid w:val="00523BB5"/>
    <w:rsid w:val="00523C0D"/>
    <w:rsid w:val="00523EA7"/>
    <w:rsid w:val="00524270"/>
    <w:rsid w:val="0052551A"/>
    <w:rsid w:val="00526662"/>
    <w:rsid w:val="00530BAE"/>
    <w:rsid w:val="00530D89"/>
    <w:rsid w:val="00531BDF"/>
    <w:rsid w:val="0053779A"/>
    <w:rsid w:val="005405A6"/>
    <w:rsid w:val="005406EB"/>
    <w:rsid w:val="00540F90"/>
    <w:rsid w:val="00541EFB"/>
    <w:rsid w:val="00550148"/>
    <w:rsid w:val="00553375"/>
    <w:rsid w:val="00555393"/>
    <w:rsid w:val="00556714"/>
    <w:rsid w:val="00557C28"/>
    <w:rsid w:val="00557CAE"/>
    <w:rsid w:val="00557DBF"/>
    <w:rsid w:val="00560B55"/>
    <w:rsid w:val="00562B52"/>
    <w:rsid w:val="0056325C"/>
    <w:rsid w:val="005673E7"/>
    <w:rsid w:val="00571AB6"/>
    <w:rsid w:val="00571DC4"/>
    <w:rsid w:val="0057364E"/>
    <w:rsid w:val="005736B7"/>
    <w:rsid w:val="00574540"/>
    <w:rsid w:val="00575882"/>
    <w:rsid w:val="00575E5A"/>
    <w:rsid w:val="00576B63"/>
    <w:rsid w:val="00582163"/>
    <w:rsid w:val="005850DB"/>
    <w:rsid w:val="00587366"/>
    <w:rsid w:val="0059007A"/>
    <w:rsid w:val="005933DD"/>
    <w:rsid w:val="00594900"/>
    <w:rsid w:val="00596AEC"/>
    <w:rsid w:val="00597263"/>
    <w:rsid w:val="005A2EBB"/>
    <w:rsid w:val="005A705B"/>
    <w:rsid w:val="005A750A"/>
    <w:rsid w:val="005A7767"/>
    <w:rsid w:val="005B0C4D"/>
    <w:rsid w:val="005B0F50"/>
    <w:rsid w:val="005B1E40"/>
    <w:rsid w:val="005B266B"/>
    <w:rsid w:val="005B2694"/>
    <w:rsid w:val="005B2B36"/>
    <w:rsid w:val="005B48C0"/>
    <w:rsid w:val="005B4D80"/>
    <w:rsid w:val="005C1916"/>
    <w:rsid w:val="005C1E5C"/>
    <w:rsid w:val="005C4EFA"/>
    <w:rsid w:val="005C5618"/>
    <w:rsid w:val="005C67F8"/>
    <w:rsid w:val="005D0738"/>
    <w:rsid w:val="005D33B2"/>
    <w:rsid w:val="005D34BB"/>
    <w:rsid w:val="005D585E"/>
    <w:rsid w:val="005D6655"/>
    <w:rsid w:val="005E1365"/>
    <w:rsid w:val="005E1614"/>
    <w:rsid w:val="005E2E5F"/>
    <w:rsid w:val="005E38B3"/>
    <w:rsid w:val="005F4418"/>
    <w:rsid w:val="005F4442"/>
    <w:rsid w:val="005F7896"/>
    <w:rsid w:val="005F7AD5"/>
    <w:rsid w:val="006003C0"/>
    <w:rsid w:val="00603439"/>
    <w:rsid w:val="00603B42"/>
    <w:rsid w:val="00607FBF"/>
    <w:rsid w:val="0061068E"/>
    <w:rsid w:val="0061100B"/>
    <w:rsid w:val="00611093"/>
    <w:rsid w:val="0061213D"/>
    <w:rsid w:val="00613AFD"/>
    <w:rsid w:val="006140E1"/>
    <w:rsid w:val="00614DB1"/>
    <w:rsid w:val="00617191"/>
    <w:rsid w:val="0062300E"/>
    <w:rsid w:val="00625509"/>
    <w:rsid w:val="00634B78"/>
    <w:rsid w:val="00635EE1"/>
    <w:rsid w:val="0063771C"/>
    <w:rsid w:val="00642234"/>
    <w:rsid w:val="006445B0"/>
    <w:rsid w:val="00644A36"/>
    <w:rsid w:val="00645300"/>
    <w:rsid w:val="0065090A"/>
    <w:rsid w:val="00650BF9"/>
    <w:rsid w:val="00651953"/>
    <w:rsid w:val="006538C1"/>
    <w:rsid w:val="00653E44"/>
    <w:rsid w:val="00654683"/>
    <w:rsid w:val="0065610E"/>
    <w:rsid w:val="006563D7"/>
    <w:rsid w:val="00656840"/>
    <w:rsid w:val="00660AD3"/>
    <w:rsid w:val="006615CD"/>
    <w:rsid w:val="006615EA"/>
    <w:rsid w:val="006644F9"/>
    <w:rsid w:val="00666208"/>
    <w:rsid w:val="00666CB4"/>
    <w:rsid w:val="006708C6"/>
    <w:rsid w:val="0067315B"/>
    <w:rsid w:val="00673E01"/>
    <w:rsid w:val="00676A25"/>
    <w:rsid w:val="00676C95"/>
    <w:rsid w:val="00681C5E"/>
    <w:rsid w:val="0068261A"/>
    <w:rsid w:val="00683ADC"/>
    <w:rsid w:val="0068643C"/>
    <w:rsid w:val="0069018F"/>
    <w:rsid w:val="006947AD"/>
    <w:rsid w:val="0069526B"/>
    <w:rsid w:val="006A154F"/>
    <w:rsid w:val="006A3941"/>
    <w:rsid w:val="006A5570"/>
    <w:rsid w:val="006A61F5"/>
    <w:rsid w:val="006A689C"/>
    <w:rsid w:val="006A7387"/>
    <w:rsid w:val="006B1483"/>
    <w:rsid w:val="006B2299"/>
    <w:rsid w:val="006B25A5"/>
    <w:rsid w:val="006B3D79"/>
    <w:rsid w:val="006B41FD"/>
    <w:rsid w:val="006B46DA"/>
    <w:rsid w:val="006B5745"/>
    <w:rsid w:val="006B7605"/>
    <w:rsid w:val="006C240C"/>
    <w:rsid w:val="006C5CF7"/>
    <w:rsid w:val="006C65CA"/>
    <w:rsid w:val="006C6900"/>
    <w:rsid w:val="006C75C4"/>
    <w:rsid w:val="006C7F7F"/>
    <w:rsid w:val="006D113B"/>
    <w:rsid w:val="006D1E31"/>
    <w:rsid w:val="006D2641"/>
    <w:rsid w:val="006D3654"/>
    <w:rsid w:val="006D5C5F"/>
    <w:rsid w:val="006D62B9"/>
    <w:rsid w:val="006E0578"/>
    <w:rsid w:val="006E1E5B"/>
    <w:rsid w:val="006E314D"/>
    <w:rsid w:val="006E57BD"/>
    <w:rsid w:val="006E5D75"/>
    <w:rsid w:val="006E659D"/>
    <w:rsid w:val="006F1D2C"/>
    <w:rsid w:val="006F2414"/>
    <w:rsid w:val="006F263D"/>
    <w:rsid w:val="006F321C"/>
    <w:rsid w:val="006F3D1C"/>
    <w:rsid w:val="006F43DF"/>
    <w:rsid w:val="007002FE"/>
    <w:rsid w:val="00705B3D"/>
    <w:rsid w:val="00710723"/>
    <w:rsid w:val="0071338A"/>
    <w:rsid w:val="007147AE"/>
    <w:rsid w:val="00716452"/>
    <w:rsid w:val="00716569"/>
    <w:rsid w:val="00720A1F"/>
    <w:rsid w:val="00722492"/>
    <w:rsid w:val="007232E9"/>
    <w:rsid w:val="00723ED1"/>
    <w:rsid w:val="00724723"/>
    <w:rsid w:val="00724BBD"/>
    <w:rsid w:val="007265A9"/>
    <w:rsid w:val="00726F77"/>
    <w:rsid w:val="007328B6"/>
    <w:rsid w:val="00736109"/>
    <w:rsid w:val="0073725B"/>
    <w:rsid w:val="00740045"/>
    <w:rsid w:val="00740B29"/>
    <w:rsid w:val="00740C0E"/>
    <w:rsid w:val="00743525"/>
    <w:rsid w:val="007462FE"/>
    <w:rsid w:val="00746ACE"/>
    <w:rsid w:val="00747460"/>
    <w:rsid w:val="007505AA"/>
    <w:rsid w:val="00750E16"/>
    <w:rsid w:val="00751327"/>
    <w:rsid w:val="00753554"/>
    <w:rsid w:val="00756657"/>
    <w:rsid w:val="0076286B"/>
    <w:rsid w:val="007630D9"/>
    <w:rsid w:val="0076316B"/>
    <w:rsid w:val="00766846"/>
    <w:rsid w:val="00766DF6"/>
    <w:rsid w:val="0076738F"/>
    <w:rsid w:val="00770EB1"/>
    <w:rsid w:val="00771FA0"/>
    <w:rsid w:val="007722BC"/>
    <w:rsid w:val="00773316"/>
    <w:rsid w:val="0077453C"/>
    <w:rsid w:val="0077673A"/>
    <w:rsid w:val="00782B94"/>
    <w:rsid w:val="007846E1"/>
    <w:rsid w:val="00786167"/>
    <w:rsid w:val="007868B8"/>
    <w:rsid w:val="00791381"/>
    <w:rsid w:val="0079456D"/>
    <w:rsid w:val="00795B44"/>
    <w:rsid w:val="007A05E6"/>
    <w:rsid w:val="007A10B6"/>
    <w:rsid w:val="007A3200"/>
    <w:rsid w:val="007A3EEA"/>
    <w:rsid w:val="007A5172"/>
    <w:rsid w:val="007A7A28"/>
    <w:rsid w:val="007A7D54"/>
    <w:rsid w:val="007A7F9A"/>
    <w:rsid w:val="007B2700"/>
    <w:rsid w:val="007B2EB2"/>
    <w:rsid w:val="007B3D55"/>
    <w:rsid w:val="007B570C"/>
    <w:rsid w:val="007B5810"/>
    <w:rsid w:val="007B5DB3"/>
    <w:rsid w:val="007C0D93"/>
    <w:rsid w:val="007C227A"/>
    <w:rsid w:val="007D0BD6"/>
    <w:rsid w:val="007D294C"/>
    <w:rsid w:val="007E1620"/>
    <w:rsid w:val="007E1FC1"/>
    <w:rsid w:val="007E3370"/>
    <w:rsid w:val="007E407A"/>
    <w:rsid w:val="007E4A6E"/>
    <w:rsid w:val="007E5335"/>
    <w:rsid w:val="007E5E93"/>
    <w:rsid w:val="007E73C1"/>
    <w:rsid w:val="007F11BD"/>
    <w:rsid w:val="007F2967"/>
    <w:rsid w:val="007F56A7"/>
    <w:rsid w:val="008023BC"/>
    <w:rsid w:val="0080296E"/>
    <w:rsid w:val="008043CF"/>
    <w:rsid w:val="00806BAD"/>
    <w:rsid w:val="00807DD0"/>
    <w:rsid w:val="0081182F"/>
    <w:rsid w:val="00814E32"/>
    <w:rsid w:val="008157A3"/>
    <w:rsid w:val="0081633D"/>
    <w:rsid w:val="00817026"/>
    <w:rsid w:val="00823291"/>
    <w:rsid w:val="008235E9"/>
    <w:rsid w:val="00824531"/>
    <w:rsid w:val="00824D49"/>
    <w:rsid w:val="00825201"/>
    <w:rsid w:val="008318C8"/>
    <w:rsid w:val="00832161"/>
    <w:rsid w:val="00833B3B"/>
    <w:rsid w:val="00833C3C"/>
    <w:rsid w:val="00833CDF"/>
    <w:rsid w:val="008402B4"/>
    <w:rsid w:val="00840D8C"/>
    <w:rsid w:val="00842EFD"/>
    <w:rsid w:val="008436CF"/>
    <w:rsid w:val="00843F93"/>
    <w:rsid w:val="008440A1"/>
    <w:rsid w:val="0084468B"/>
    <w:rsid w:val="00845264"/>
    <w:rsid w:val="00847154"/>
    <w:rsid w:val="0085228A"/>
    <w:rsid w:val="0085366B"/>
    <w:rsid w:val="00853850"/>
    <w:rsid w:val="00853D0E"/>
    <w:rsid w:val="00854129"/>
    <w:rsid w:val="00854A05"/>
    <w:rsid w:val="00860233"/>
    <w:rsid w:val="00862CAC"/>
    <w:rsid w:val="00867110"/>
    <w:rsid w:val="00867B69"/>
    <w:rsid w:val="00870CF8"/>
    <w:rsid w:val="00874E45"/>
    <w:rsid w:val="00875A76"/>
    <w:rsid w:val="0087685A"/>
    <w:rsid w:val="0087746F"/>
    <w:rsid w:val="00881A8D"/>
    <w:rsid w:val="008833B7"/>
    <w:rsid w:val="0089254B"/>
    <w:rsid w:val="00892709"/>
    <w:rsid w:val="00892AFD"/>
    <w:rsid w:val="00893667"/>
    <w:rsid w:val="00894BE7"/>
    <w:rsid w:val="00895C80"/>
    <w:rsid w:val="008A00C5"/>
    <w:rsid w:val="008A0B3B"/>
    <w:rsid w:val="008A1BA0"/>
    <w:rsid w:val="008A3568"/>
    <w:rsid w:val="008A365E"/>
    <w:rsid w:val="008A3678"/>
    <w:rsid w:val="008A3B63"/>
    <w:rsid w:val="008B0079"/>
    <w:rsid w:val="008B4FBC"/>
    <w:rsid w:val="008B6E52"/>
    <w:rsid w:val="008B6FF6"/>
    <w:rsid w:val="008B7828"/>
    <w:rsid w:val="008C2505"/>
    <w:rsid w:val="008C2F96"/>
    <w:rsid w:val="008C400B"/>
    <w:rsid w:val="008C6827"/>
    <w:rsid w:val="008D03B9"/>
    <w:rsid w:val="008D0468"/>
    <w:rsid w:val="008D09A6"/>
    <w:rsid w:val="008D24CE"/>
    <w:rsid w:val="008D4BC1"/>
    <w:rsid w:val="008D5AF9"/>
    <w:rsid w:val="008D6CFC"/>
    <w:rsid w:val="008E0DA1"/>
    <w:rsid w:val="008E5A02"/>
    <w:rsid w:val="008E5BFC"/>
    <w:rsid w:val="008E5D68"/>
    <w:rsid w:val="008F18D6"/>
    <w:rsid w:val="008F2352"/>
    <w:rsid w:val="009045E3"/>
    <w:rsid w:val="00904780"/>
    <w:rsid w:val="009055C6"/>
    <w:rsid w:val="009072AE"/>
    <w:rsid w:val="00910387"/>
    <w:rsid w:val="0091040B"/>
    <w:rsid w:val="009104E0"/>
    <w:rsid w:val="00914661"/>
    <w:rsid w:val="00916B7E"/>
    <w:rsid w:val="00922385"/>
    <w:rsid w:val="009223DF"/>
    <w:rsid w:val="0092517A"/>
    <w:rsid w:val="00926F75"/>
    <w:rsid w:val="00927FBC"/>
    <w:rsid w:val="009304FA"/>
    <w:rsid w:val="00933614"/>
    <w:rsid w:val="009337B4"/>
    <w:rsid w:val="00936091"/>
    <w:rsid w:val="00936BE1"/>
    <w:rsid w:val="009379F6"/>
    <w:rsid w:val="00940D8A"/>
    <w:rsid w:val="0094359E"/>
    <w:rsid w:val="00944EFA"/>
    <w:rsid w:val="0095216F"/>
    <w:rsid w:val="0095223E"/>
    <w:rsid w:val="0095388F"/>
    <w:rsid w:val="0095477A"/>
    <w:rsid w:val="00957740"/>
    <w:rsid w:val="00957D02"/>
    <w:rsid w:val="009617BB"/>
    <w:rsid w:val="00962111"/>
    <w:rsid w:val="00962258"/>
    <w:rsid w:val="00963129"/>
    <w:rsid w:val="0096414F"/>
    <w:rsid w:val="00965DA6"/>
    <w:rsid w:val="00966FB7"/>
    <w:rsid w:val="009678B7"/>
    <w:rsid w:val="009700DB"/>
    <w:rsid w:val="00970138"/>
    <w:rsid w:val="00970FFD"/>
    <w:rsid w:val="00972947"/>
    <w:rsid w:val="009768AC"/>
    <w:rsid w:val="00977EA6"/>
    <w:rsid w:val="0098127D"/>
    <w:rsid w:val="009815DC"/>
    <w:rsid w:val="00982050"/>
    <w:rsid w:val="00984B82"/>
    <w:rsid w:val="00985514"/>
    <w:rsid w:val="0098665D"/>
    <w:rsid w:val="00991579"/>
    <w:rsid w:val="00992189"/>
    <w:rsid w:val="00992D9C"/>
    <w:rsid w:val="0099478D"/>
    <w:rsid w:val="00994C23"/>
    <w:rsid w:val="009967AE"/>
    <w:rsid w:val="00996CB8"/>
    <w:rsid w:val="009A3391"/>
    <w:rsid w:val="009B2E97"/>
    <w:rsid w:val="009B31EB"/>
    <w:rsid w:val="009B4032"/>
    <w:rsid w:val="009C0671"/>
    <w:rsid w:val="009C32BA"/>
    <w:rsid w:val="009C442C"/>
    <w:rsid w:val="009C56F2"/>
    <w:rsid w:val="009C676F"/>
    <w:rsid w:val="009C6827"/>
    <w:rsid w:val="009C6A32"/>
    <w:rsid w:val="009C795A"/>
    <w:rsid w:val="009D0EA2"/>
    <w:rsid w:val="009D4E45"/>
    <w:rsid w:val="009D6E1C"/>
    <w:rsid w:val="009D70C2"/>
    <w:rsid w:val="009D7849"/>
    <w:rsid w:val="009E075F"/>
    <w:rsid w:val="009E07F4"/>
    <w:rsid w:val="009E1B87"/>
    <w:rsid w:val="009E2A48"/>
    <w:rsid w:val="009E60D0"/>
    <w:rsid w:val="009F08B8"/>
    <w:rsid w:val="009F2A42"/>
    <w:rsid w:val="009F2A86"/>
    <w:rsid w:val="009F2BC1"/>
    <w:rsid w:val="009F309B"/>
    <w:rsid w:val="009F392E"/>
    <w:rsid w:val="009F72B4"/>
    <w:rsid w:val="009F7F7E"/>
    <w:rsid w:val="00A01B6E"/>
    <w:rsid w:val="00A03AEF"/>
    <w:rsid w:val="00A04628"/>
    <w:rsid w:val="00A12E10"/>
    <w:rsid w:val="00A159C4"/>
    <w:rsid w:val="00A163C0"/>
    <w:rsid w:val="00A176BE"/>
    <w:rsid w:val="00A213AE"/>
    <w:rsid w:val="00A22D80"/>
    <w:rsid w:val="00A23419"/>
    <w:rsid w:val="00A24578"/>
    <w:rsid w:val="00A27232"/>
    <w:rsid w:val="00A312EE"/>
    <w:rsid w:val="00A323DD"/>
    <w:rsid w:val="00A3567E"/>
    <w:rsid w:val="00A37134"/>
    <w:rsid w:val="00A420EE"/>
    <w:rsid w:val="00A50641"/>
    <w:rsid w:val="00A50E60"/>
    <w:rsid w:val="00A51449"/>
    <w:rsid w:val="00A530BF"/>
    <w:rsid w:val="00A5396B"/>
    <w:rsid w:val="00A53B9D"/>
    <w:rsid w:val="00A5400A"/>
    <w:rsid w:val="00A542E4"/>
    <w:rsid w:val="00A54503"/>
    <w:rsid w:val="00A555D3"/>
    <w:rsid w:val="00A57000"/>
    <w:rsid w:val="00A60F4E"/>
    <w:rsid w:val="00A6177B"/>
    <w:rsid w:val="00A62DAB"/>
    <w:rsid w:val="00A63B88"/>
    <w:rsid w:val="00A646CE"/>
    <w:rsid w:val="00A65837"/>
    <w:rsid w:val="00A66136"/>
    <w:rsid w:val="00A66FBB"/>
    <w:rsid w:val="00A678B3"/>
    <w:rsid w:val="00A71189"/>
    <w:rsid w:val="00A71B2F"/>
    <w:rsid w:val="00A73131"/>
    <w:rsid w:val="00A753ED"/>
    <w:rsid w:val="00A75EC7"/>
    <w:rsid w:val="00A76F2F"/>
    <w:rsid w:val="00A812B8"/>
    <w:rsid w:val="00A81CAA"/>
    <w:rsid w:val="00A820B0"/>
    <w:rsid w:val="00A82954"/>
    <w:rsid w:val="00A835ED"/>
    <w:rsid w:val="00A83754"/>
    <w:rsid w:val="00A837AA"/>
    <w:rsid w:val="00A87ECE"/>
    <w:rsid w:val="00A91B80"/>
    <w:rsid w:val="00A92FBC"/>
    <w:rsid w:val="00A938A8"/>
    <w:rsid w:val="00A94804"/>
    <w:rsid w:val="00A94852"/>
    <w:rsid w:val="00A94C2F"/>
    <w:rsid w:val="00A95E12"/>
    <w:rsid w:val="00A9679C"/>
    <w:rsid w:val="00AA098D"/>
    <w:rsid w:val="00AA1AB5"/>
    <w:rsid w:val="00AA1EE8"/>
    <w:rsid w:val="00AA1FA3"/>
    <w:rsid w:val="00AA4484"/>
    <w:rsid w:val="00AA496D"/>
    <w:rsid w:val="00AA4CBB"/>
    <w:rsid w:val="00AA65FA"/>
    <w:rsid w:val="00AA6851"/>
    <w:rsid w:val="00AA7351"/>
    <w:rsid w:val="00AB5008"/>
    <w:rsid w:val="00AC3587"/>
    <w:rsid w:val="00AC35D3"/>
    <w:rsid w:val="00AC418D"/>
    <w:rsid w:val="00AC5A96"/>
    <w:rsid w:val="00AC5FC1"/>
    <w:rsid w:val="00AD056F"/>
    <w:rsid w:val="00AD0793"/>
    <w:rsid w:val="00AD0F9A"/>
    <w:rsid w:val="00AD1150"/>
    <w:rsid w:val="00AD2304"/>
    <w:rsid w:val="00AD33B9"/>
    <w:rsid w:val="00AD3A3F"/>
    <w:rsid w:val="00AD6731"/>
    <w:rsid w:val="00AD699E"/>
    <w:rsid w:val="00AE1BD6"/>
    <w:rsid w:val="00AE2C6E"/>
    <w:rsid w:val="00AE3171"/>
    <w:rsid w:val="00AE4078"/>
    <w:rsid w:val="00AE47DC"/>
    <w:rsid w:val="00AE6C45"/>
    <w:rsid w:val="00AF1152"/>
    <w:rsid w:val="00AF13C9"/>
    <w:rsid w:val="00AF1414"/>
    <w:rsid w:val="00AF22D9"/>
    <w:rsid w:val="00AF250F"/>
    <w:rsid w:val="00AF3D39"/>
    <w:rsid w:val="00AF4E90"/>
    <w:rsid w:val="00AF5A60"/>
    <w:rsid w:val="00AF7E00"/>
    <w:rsid w:val="00B008D5"/>
    <w:rsid w:val="00B014A4"/>
    <w:rsid w:val="00B02CF9"/>
    <w:rsid w:val="00B03069"/>
    <w:rsid w:val="00B0420B"/>
    <w:rsid w:val="00B043F3"/>
    <w:rsid w:val="00B05CC8"/>
    <w:rsid w:val="00B10766"/>
    <w:rsid w:val="00B114D0"/>
    <w:rsid w:val="00B114E0"/>
    <w:rsid w:val="00B13EBB"/>
    <w:rsid w:val="00B15D0D"/>
    <w:rsid w:val="00B1736C"/>
    <w:rsid w:val="00B202D9"/>
    <w:rsid w:val="00B20531"/>
    <w:rsid w:val="00B208C2"/>
    <w:rsid w:val="00B209B9"/>
    <w:rsid w:val="00B2262B"/>
    <w:rsid w:val="00B22C0A"/>
    <w:rsid w:val="00B23EDA"/>
    <w:rsid w:val="00B24D9F"/>
    <w:rsid w:val="00B27439"/>
    <w:rsid w:val="00B27B33"/>
    <w:rsid w:val="00B27D72"/>
    <w:rsid w:val="00B34E92"/>
    <w:rsid w:val="00B37E6C"/>
    <w:rsid w:val="00B479FD"/>
    <w:rsid w:val="00B47C9D"/>
    <w:rsid w:val="00B52F6B"/>
    <w:rsid w:val="00B5536A"/>
    <w:rsid w:val="00B5715F"/>
    <w:rsid w:val="00B60113"/>
    <w:rsid w:val="00B603A3"/>
    <w:rsid w:val="00B61D2A"/>
    <w:rsid w:val="00B6346C"/>
    <w:rsid w:val="00B64245"/>
    <w:rsid w:val="00B649AB"/>
    <w:rsid w:val="00B66847"/>
    <w:rsid w:val="00B72ACE"/>
    <w:rsid w:val="00B75EE1"/>
    <w:rsid w:val="00B77481"/>
    <w:rsid w:val="00B7765B"/>
    <w:rsid w:val="00B81038"/>
    <w:rsid w:val="00B810D7"/>
    <w:rsid w:val="00B830AC"/>
    <w:rsid w:val="00B8518B"/>
    <w:rsid w:val="00B85C21"/>
    <w:rsid w:val="00B86CBA"/>
    <w:rsid w:val="00B87421"/>
    <w:rsid w:val="00B91643"/>
    <w:rsid w:val="00B91E0E"/>
    <w:rsid w:val="00B92090"/>
    <w:rsid w:val="00B94ED7"/>
    <w:rsid w:val="00B96319"/>
    <w:rsid w:val="00B97855"/>
    <w:rsid w:val="00B97D88"/>
    <w:rsid w:val="00BA1910"/>
    <w:rsid w:val="00BA2A47"/>
    <w:rsid w:val="00BA6555"/>
    <w:rsid w:val="00BA6DDF"/>
    <w:rsid w:val="00BB0170"/>
    <w:rsid w:val="00BB35F3"/>
    <w:rsid w:val="00BB39E0"/>
    <w:rsid w:val="00BB612E"/>
    <w:rsid w:val="00BB66AA"/>
    <w:rsid w:val="00BB6999"/>
    <w:rsid w:val="00BB7928"/>
    <w:rsid w:val="00BB7F3A"/>
    <w:rsid w:val="00BC00AA"/>
    <w:rsid w:val="00BC287C"/>
    <w:rsid w:val="00BC7BD0"/>
    <w:rsid w:val="00BD06D0"/>
    <w:rsid w:val="00BD0CD1"/>
    <w:rsid w:val="00BD17FB"/>
    <w:rsid w:val="00BD2EC2"/>
    <w:rsid w:val="00BD39E9"/>
    <w:rsid w:val="00BD6FAE"/>
    <w:rsid w:val="00BD7058"/>
    <w:rsid w:val="00BD795B"/>
    <w:rsid w:val="00BD7E91"/>
    <w:rsid w:val="00BD7F0D"/>
    <w:rsid w:val="00BE081B"/>
    <w:rsid w:val="00BE1A37"/>
    <w:rsid w:val="00BE1E53"/>
    <w:rsid w:val="00BE2499"/>
    <w:rsid w:val="00BE27CB"/>
    <w:rsid w:val="00BE4265"/>
    <w:rsid w:val="00BE42D7"/>
    <w:rsid w:val="00BE4A3B"/>
    <w:rsid w:val="00BE554E"/>
    <w:rsid w:val="00BE5DA3"/>
    <w:rsid w:val="00BF12A4"/>
    <w:rsid w:val="00BF2CF0"/>
    <w:rsid w:val="00BF5E63"/>
    <w:rsid w:val="00C00A7E"/>
    <w:rsid w:val="00C02D0A"/>
    <w:rsid w:val="00C02D98"/>
    <w:rsid w:val="00C032D0"/>
    <w:rsid w:val="00C03A6E"/>
    <w:rsid w:val="00C04058"/>
    <w:rsid w:val="00C058E8"/>
    <w:rsid w:val="00C0781A"/>
    <w:rsid w:val="00C107A2"/>
    <w:rsid w:val="00C1082F"/>
    <w:rsid w:val="00C13F2A"/>
    <w:rsid w:val="00C1555D"/>
    <w:rsid w:val="00C16554"/>
    <w:rsid w:val="00C16E9A"/>
    <w:rsid w:val="00C214A0"/>
    <w:rsid w:val="00C21508"/>
    <w:rsid w:val="00C226C0"/>
    <w:rsid w:val="00C252B0"/>
    <w:rsid w:val="00C25C1E"/>
    <w:rsid w:val="00C27878"/>
    <w:rsid w:val="00C279D4"/>
    <w:rsid w:val="00C3157C"/>
    <w:rsid w:val="00C33313"/>
    <w:rsid w:val="00C336C9"/>
    <w:rsid w:val="00C34760"/>
    <w:rsid w:val="00C37177"/>
    <w:rsid w:val="00C4148B"/>
    <w:rsid w:val="00C43B92"/>
    <w:rsid w:val="00C44F6A"/>
    <w:rsid w:val="00C45191"/>
    <w:rsid w:val="00C4736C"/>
    <w:rsid w:val="00C518F5"/>
    <w:rsid w:val="00C53584"/>
    <w:rsid w:val="00C552B0"/>
    <w:rsid w:val="00C5613A"/>
    <w:rsid w:val="00C60BA3"/>
    <w:rsid w:val="00C618F7"/>
    <w:rsid w:val="00C6198E"/>
    <w:rsid w:val="00C63B35"/>
    <w:rsid w:val="00C649C6"/>
    <w:rsid w:val="00C656CE"/>
    <w:rsid w:val="00C7753E"/>
    <w:rsid w:val="00C778A5"/>
    <w:rsid w:val="00C817DB"/>
    <w:rsid w:val="00C8657D"/>
    <w:rsid w:val="00C86A78"/>
    <w:rsid w:val="00C8721D"/>
    <w:rsid w:val="00C87C8D"/>
    <w:rsid w:val="00C9039F"/>
    <w:rsid w:val="00C90FC6"/>
    <w:rsid w:val="00C91B42"/>
    <w:rsid w:val="00C94986"/>
    <w:rsid w:val="00C95162"/>
    <w:rsid w:val="00C973E8"/>
    <w:rsid w:val="00CA0117"/>
    <w:rsid w:val="00CA2486"/>
    <w:rsid w:val="00CA2C80"/>
    <w:rsid w:val="00CA3503"/>
    <w:rsid w:val="00CA5789"/>
    <w:rsid w:val="00CA6003"/>
    <w:rsid w:val="00CA6D63"/>
    <w:rsid w:val="00CA7DB9"/>
    <w:rsid w:val="00CB2303"/>
    <w:rsid w:val="00CB3B42"/>
    <w:rsid w:val="00CB724D"/>
    <w:rsid w:val="00CB7A5F"/>
    <w:rsid w:val="00CC32EB"/>
    <w:rsid w:val="00CC4EE6"/>
    <w:rsid w:val="00CC6E4C"/>
    <w:rsid w:val="00CC726B"/>
    <w:rsid w:val="00CD0275"/>
    <w:rsid w:val="00CD1FC4"/>
    <w:rsid w:val="00CD26A4"/>
    <w:rsid w:val="00CD68DE"/>
    <w:rsid w:val="00CD79CB"/>
    <w:rsid w:val="00CD7EFE"/>
    <w:rsid w:val="00CE0271"/>
    <w:rsid w:val="00CE0DCD"/>
    <w:rsid w:val="00CE23C3"/>
    <w:rsid w:val="00CE2858"/>
    <w:rsid w:val="00CE39C2"/>
    <w:rsid w:val="00CE7677"/>
    <w:rsid w:val="00CF2558"/>
    <w:rsid w:val="00CF4771"/>
    <w:rsid w:val="00CF47AD"/>
    <w:rsid w:val="00CF56EA"/>
    <w:rsid w:val="00CF56FB"/>
    <w:rsid w:val="00CF5B99"/>
    <w:rsid w:val="00CF6B87"/>
    <w:rsid w:val="00D01C53"/>
    <w:rsid w:val="00D034A0"/>
    <w:rsid w:val="00D036A2"/>
    <w:rsid w:val="00D043C9"/>
    <w:rsid w:val="00D07170"/>
    <w:rsid w:val="00D10601"/>
    <w:rsid w:val="00D110B6"/>
    <w:rsid w:val="00D11A17"/>
    <w:rsid w:val="00D130BF"/>
    <w:rsid w:val="00D145EF"/>
    <w:rsid w:val="00D14713"/>
    <w:rsid w:val="00D15683"/>
    <w:rsid w:val="00D1572B"/>
    <w:rsid w:val="00D16C0B"/>
    <w:rsid w:val="00D17ABD"/>
    <w:rsid w:val="00D21061"/>
    <w:rsid w:val="00D22385"/>
    <w:rsid w:val="00D2508E"/>
    <w:rsid w:val="00D27D72"/>
    <w:rsid w:val="00D31458"/>
    <w:rsid w:val="00D3237A"/>
    <w:rsid w:val="00D327FF"/>
    <w:rsid w:val="00D339E3"/>
    <w:rsid w:val="00D33BE5"/>
    <w:rsid w:val="00D34C57"/>
    <w:rsid w:val="00D370E7"/>
    <w:rsid w:val="00D3757F"/>
    <w:rsid w:val="00D400F3"/>
    <w:rsid w:val="00D4108E"/>
    <w:rsid w:val="00D45B57"/>
    <w:rsid w:val="00D46037"/>
    <w:rsid w:val="00D50388"/>
    <w:rsid w:val="00D52354"/>
    <w:rsid w:val="00D54B7F"/>
    <w:rsid w:val="00D6163D"/>
    <w:rsid w:val="00D65469"/>
    <w:rsid w:val="00D67116"/>
    <w:rsid w:val="00D67253"/>
    <w:rsid w:val="00D70949"/>
    <w:rsid w:val="00D716AB"/>
    <w:rsid w:val="00D736A3"/>
    <w:rsid w:val="00D7400D"/>
    <w:rsid w:val="00D75EBC"/>
    <w:rsid w:val="00D77CFD"/>
    <w:rsid w:val="00D80F92"/>
    <w:rsid w:val="00D831A3"/>
    <w:rsid w:val="00D83660"/>
    <w:rsid w:val="00D9202A"/>
    <w:rsid w:val="00D9228A"/>
    <w:rsid w:val="00D925C9"/>
    <w:rsid w:val="00D93806"/>
    <w:rsid w:val="00D942EC"/>
    <w:rsid w:val="00D94B3F"/>
    <w:rsid w:val="00D97583"/>
    <w:rsid w:val="00DA0A59"/>
    <w:rsid w:val="00DA2691"/>
    <w:rsid w:val="00DA3711"/>
    <w:rsid w:val="00DA624D"/>
    <w:rsid w:val="00DA795D"/>
    <w:rsid w:val="00DB2009"/>
    <w:rsid w:val="00DB28D0"/>
    <w:rsid w:val="00DB48D5"/>
    <w:rsid w:val="00DB4E3E"/>
    <w:rsid w:val="00DB59CC"/>
    <w:rsid w:val="00DB64AC"/>
    <w:rsid w:val="00DC1035"/>
    <w:rsid w:val="00DC148C"/>
    <w:rsid w:val="00DC5164"/>
    <w:rsid w:val="00DC621D"/>
    <w:rsid w:val="00DD247E"/>
    <w:rsid w:val="00DD2EC9"/>
    <w:rsid w:val="00DD46F3"/>
    <w:rsid w:val="00DD6DBF"/>
    <w:rsid w:val="00DD762D"/>
    <w:rsid w:val="00DE1C18"/>
    <w:rsid w:val="00DE3398"/>
    <w:rsid w:val="00DE504D"/>
    <w:rsid w:val="00DE56F2"/>
    <w:rsid w:val="00DE6559"/>
    <w:rsid w:val="00DE7218"/>
    <w:rsid w:val="00DF116D"/>
    <w:rsid w:val="00DF4267"/>
    <w:rsid w:val="00DF52D3"/>
    <w:rsid w:val="00DF587F"/>
    <w:rsid w:val="00DF6D55"/>
    <w:rsid w:val="00E033A2"/>
    <w:rsid w:val="00E049AF"/>
    <w:rsid w:val="00E05C91"/>
    <w:rsid w:val="00E07A63"/>
    <w:rsid w:val="00E07F2A"/>
    <w:rsid w:val="00E07F77"/>
    <w:rsid w:val="00E1153E"/>
    <w:rsid w:val="00E123C3"/>
    <w:rsid w:val="00E1355A"/>
    <w:rsid w:val="00E143DA"/>
    <w:rsid w:val="00E14A92"/>
    <w:rsid w:val="00E15743"/>
    <w:rsid w:val="00E15FD4"/>
    <w:rsid w:val="00E16FF7"/>
    <w:rsid w:val="00E20182"/>
    <w:rsid w:val="00E22558"/>
    <w:rsid w:val="00E24780"/>
    <w:rsid w:val="00E3031D"/>
    <w:rsid w:val="00E318D6"/>
    <w:rsid w:val="00E31E54"/>
    <w:rsid w:val="00E3443B"/>
    <w:rsid w:val="00E3500D"/>
    <w:rsid w:val="00E362E1"/>
    <w:rsid w:val="00E3630C"/>
    <w:rsid w:val="00E37732"/>
    <w:rsid w:val="00E37DAD"/>
    <w:rsid w:val="00E45186"/>
    <w:rsid w:val="00E514BC"/>
    <w:rsid w:val="00E516B0"/>
    <w:rsid w:val="00E521A8"/>
    <w:rsid w:val="00E5588F"/>
    <w:rsid w:val="00E5593D"/>
    <w:rsid w:val="00E5634D"/>
    <w:rsid w:val="00E56C09"/>
    <w:rsid w:val="00E60B34"/>
    <w:rsid w:val="00E63CC4"/>
    <w:rsid w:val="00E64098"/>
    <w:rsid w:val="00E658FD"/>
    <w:rsid w:val="00E67E77"/>
    <w:rsid w:val="00E73260"/>
    <w:rsid w:val="00E7361A"/>
    <w:rsid w:val="00E7646A"/>
    <w:rsid w:val="00E80531"/>
    <w:rsid w:val="00E819C7"/>
    <w:rsid w:val="00E840E2"/>
    <w:rsid w:val="00E8435C"/>
    <w:rsid w:val="00E8637F"/>
    <w:rsid w:val="00E918A3"/>
    <w:rsid w:val="00E92FEE"/>
    <w:rsid w:val="00E9313E"/>
    <w:rsid w:val="00E955A7"/>
    <w:rsid w:val="00E96AB7"/>
    <w:rsid w:val="00EA0203"/>
    <w:rsid w:val="00EA0FFE"/>
    <w:rsid w:val="00EA101D"/>
    <w:rsid w:val="00EA57C2"/>
    <w:rsid w:val="00EA723B"/>
    <w:rsid w:val="00EB0BF6"/>
    <w:rsid w:val="00EB104F"/>
    <w:rsid w:val="00EB249D"/>
    <w:rsid w:val="00EB4124"/>
    <w:rsid w:val="00EB5E91"/>
    <w:rsid w:val="00EB6746"/>
    <w:rsid w:val="00EB6BA0"/>
    <w:rsid w:val="00EB7FAC"/>
    <w:rsid w:val="00EC47FA"/>
    <w:rsid w:val="00EC552E"/>
    <w:rsid w:val="00EC75AF"/>
    <w:rsid w:val="00ED0D55"/>
    <w:rsid w:val="00ED14BD"/>
    <w:rsid w:val="00ED18BF"/>
    <w:rsid w:val="00ED23DA"/>
    <w:rsid w:val="00ED463D"/>
    <w:rsid w:val="00EE20A7"/>
    <w:rsid w:val="00EE2DC4"/>
    <w:rsid w:val="00EE2F0C"/>
    <w:rsid w:val="00EE52D0"/>
    <w:rsid w:val="00EE5311"/>
    <w:rsid w:val="00EF0951"/>
    <w:rsid w:val="00EF2B07"/>
    <w:rsid w:val="00EF35C3"/>
    <w:rsid w:val="00EF580B"/>
    <w:rsid w:val="00EF5B7F"/>
    <w:rsid w:val="00EF606B"/>
    <w:rsid w:val="00F016C7"/>
    <w:rsid w:val="00F022B1"/>
    <w:rsid w:val="00F04BBF"/>
    <w:rsid w:val="00F05D41"/>
    <w:rsid w:val="00F061ED"/>
    <w:rsid w:val="00F0651E"/>
    <w:rsid w:val="00F10D3F"/>
    <w:rsid w:val="00F1119C"/>
    <w:rsid w:val="00F11F97"/>
    <w:rsid w:val="00F12842"/>
    <w:rsid w:val="00F12BDE"/>
    <w:rsid w:val="00F12DEC"/>
    <w:rsid w:val="00F1571D"/>
    <w:rsid w:val="00F16EC4"/>
    <w:rsid w:val="00F1715C"/>
    <w:rsid w:val="00F22604"/>
    <w:rsid w:val="00F262EB"/>
    <w:rsid w:val="00F27547"/>
    <w:rsid w:val="00F30796"/>
    <w:rsid w:val="00F3105C"/>
    <w:rsid w:val="00F310F8"/>
    <w:rsid w:val="00F3169F"/>
    <w:rsid w:val="00F31C45"/>
    <w:rsid w:val="00F328BF"/>
    <w:rsid w:val="00F33385"/>
    <w:rsid w:val="00F33590"/>
    <w:rsid w:val="00F350B7"/>
    <w:rsid w:val="00F35939"/>
    <w:rsid w:val="00F36D7A"/>
    <w:rsid w:val="00F37EB3"/>
    <w:rsid w:val="00F40D38"/>
    <w:rsid w:val="00F45607"/>
    <w:rsid w:val="00F46894"/>
    <w:rsid w:val="00F50223"/>
    <w:rsid w:val="00F5041B"/>
    <w:rsid w:val="00F50AE6"/>
    <w:rsid w:val="00F51EFE"/>
    <w:rsid w:val="00F533B1"/>
    <w:rsid w:val="00F53D08"/>
    <w:rsid w:val="00F56F1D"/>
    <w:rsid w:val="00F6128C"/>
    <w:rsid w:val="00F659EB"/>
    <w:rsid w:val="00F66B69"/>
    <w:rsid w:val="00F710B5"/>
    <w:rsid w:val="00F7175B"/>
    <w:rsid w:val="00F72153"/>
    <w:rsid w:val="00F72E19"/>
    <w:rsid w:val="00F73E59"/>
    <w:rsid w:val="00F7445C"/>
    <w:rsid w:val="00F74E9E"/>
    <w:rsid w:val="00F76316"/>
    <w:rsid w:val="00F8493E"/>
    <w:rsid w:val="00F84AAF"/>
    <w:rsid w:val="00F86BA6"/>
    <w:rsid w:val="00F90BD9"/>
    <w:rsid w:val="00F92464"/>
    <w:rsid w:val="00F9271C"/>
    <w:rsid w:val="00FA01C1"/>
    <w:rsid w:val="00FA135A"/>
    <w:rsid w:val="00FA1D7A"/>
    <w:rsid w:val="00FA20C7"/>
    <w:rsid w:val="00FA2C1D"/>
    <w:rsid w:val="00FA3560"/>
    <w:rsid w:val="00FA3806"/>
    <w:rsid w:val="00FA4B7D"/>
    <w:rsid w:val="00FA524F"/>
    <w:rsid w:val="00FA68D0"/>
    <w:rsid w:val="00FA7E9D"/>
    <w:rsid w:val="00FB4493"/>
    <w:rsid w:val="00FB5325"/>
    <w:rsid w:val="00FB560A"/>
    <w:rsid w:val="00FB6342"/>
    <w:rsid w:val="00FC0190"/>
    <w:rsid w:val="00FC3E94"/>
    <w:rsid w:val="00FC5BD1"/>
    <w:rsid w:val="00FC6389"/>
    <w:rsid w:val="00FC7FE4"/>
    <w:rsid w:val="00FD2120"/>
    <w:rsid w:val="00FD2224"/>
    <w:rsid w:val="00FD2325"/>
    <w:rsid w:val="00FD4124"/>
    <w:rsid w:val="00FD54C0"/>
    <w:rsid w:val="00FE411C"/>
    <w:rsid w:val="00FE59A1"/>
    <w:rsid w:val="00FF1218"/>
    <w:rsid w:val="00FF2066"/>
    <w:rsid w:val="00FF3CFC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A13E7"/>
  <w15:docId w15:val="{7CA5D07D-45B0-4BEB-BCE4-6E93B6B7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8" w:unhideWhenUsed="1" w:qFormat="1"/>
    <w:lsdException w:name="heading 3" w:semiHidden="1" w:uiPriority="8" w:unhideWhenUsed="1" w:qFormat="1"/>
    <w:lsdException w:name="heading 4" w:semiHidden="1" w:uiPriority="8" w:unhideWhenUsed="1" w:qFormat="1"/>
    <w:lsdException w:name="heading 5" w:semiHidden="1" w:uiPriority="8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269E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3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3"/>
      </w:numPr>
      <w:spacing w:before="240" w:after="60"/>
      <w:ind w:left="851" w:hanging="851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3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5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character" w:styleId="Sledovanodkaz">
    <w:name w:val="FollowedHyperlink"/>
    <w:basedOn w:val="Standardnpsmoodstavce"/>
    <w:uiPriority w:val="99"/>
    <w:semiHidden/>
    <w:unhideWhenUsed/>
    <w:rsid w:val="00927FBC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040DD5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0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atochvil\Documents\1_Projekty\&#382;&#382;_&#352;ablona\sprava-zeleznic_zprava_analyza_v9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F8AB08BBF2A4DF9B604A3F8B009D3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CD273B-2783-48B3-A786-9FB93FDC0178}"/>
      </w:docPartPr>
      <w:docPartBody>
        <w:p w:rsidR="005144BD" w:rsidRDefault="00700D49">
          <w:pPr>
            <w:pStyle w:val="DF8AB08BBF2A4DF9B604A3F8B009D318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49"/>
    <w:rsid w:val="000123C8"/>
    <w:rsid w:val="000510D1"/>
    <w:rsid w:val="00064E3A"/>
    <w:rsid w:val="00065AF6"/>
    <w:rsid w:val="000726FB"/>
    <w:rsid w:val="000852C7"/>
    <w:rsid w:val="000A7F60"/>
    <w:rsid w:val="000B286B"/>
    <w:rsid w:val="000B5716"/>
    <w:rsid w:val="000C4579"/>
    <w:rsid w:val="000C7D0F"/>
    <w:rsid w:val="000E06D3"/>
    <w:rsid w:val="000E3AE1"/>
    <w:rsid w:val="000F04CF"/>
    <w:rsid w:val="00140D60"/>
    <w:rsid w:val="00156C01"/>
    <w:rsid w:val="00161D40"/>
    <w:rsid w:val="00187048"/>
    <w:rsid w:val="001935E7"/>
    <w:rsid w:val="001B677C"/>
    <w:rsid w:val="001D3E25"/>
    <w:rsid w:val="001F6907"/>
    <w:rsid w:val="00203358"/>
    <w:rsid w:val="00255806"/>
    <w:rsid w:val="00285D76"/>
    <w:rsid w:val="002868C5"/>
    <w:rsid w:val="00303D34"/>
    <w:rsid w:val="003464A6"/>
    <w:rsid w:val="00363210"/>
    <w:rsid w:val="0039476A"/>
    <w:rsid w:val="003A0054"/>
    <w:rsid w:val="003C6EE9"/>
    <w:rsid w:val="003D6B89"/>
    <w:rsid w:val="00424FA1"/>
    <w:rsid w:val="004477F8"/>
    <w:rsid w:val="00474215"/>
    <w:rsid w:val="00474BA2"/>
    <w:rsid w:val="004A53D4"/>
    <w:rsid w:val="004C0799"/>
    <w:rsid w:val="004C6518"/>
    <w:rsid w:val="0050097E"/>
    <w:rsid w:val="005013F1"/>
    <w:rsid w:val="005144BD"/>
    <w:rsid w:val="0053478F"/>
    <w:rsid w:val="0054616B"/>
    <w:rsid w:val="00547D7B"/>
    <w:rsid w:val="0057043F"/>
    <w:rsid w:val="00573F69"/>
    <w:rsid w:val="00597E93"/>
    <w:rsid w:val="005A7A15"/>
    <w:rsid w:val="005C44F1"/>
    <w:rsid w:val="005D3073"/>
    <w:rsid w:val="00604CB3"/>
    <w:rsid w:val="00634EA6"/>
    <w:rsid w:val="00641FFA"/>
    <w:rsid w:val="00657A29"/>
    <w:rsid w:val="0066620E"/>
    <w:rsid w:val="00685895"/>
    <w:rsid w:val="0069617F"/>
    <w:rsid w:val="006E4A2D"/>
    <w:rsid w:val="006E4AB9"/>
    <w:rsid w:val="006E7198"/>
    <w:rsid w:val="00700BDA"/>
    <w:rsid w:val="00700D49"/>
    <w:rsid w:val="00770794"/>
    <w:rsid w:val="00786D60"/>
    <w:rsid w:val="007877AA"/>
    <w:rsid w:val="007A54BF"/>
    <w:rsid w:val="007C13AF"/>
    <w:rsid w:val="007C2B95"/>
    <w:rsid w:val="007C4028"/>
    <w:rsid w:val="007D040E"/>
    <w:rsid w:val="007D089A"/>
    <w:rsid w:val="007E1A5B"/>
    <w:rsid w:val="007E7D54"/>
    <w:rsid w:val="007F46A6"/>
    <w:rsid w:val="00810469"/>
    <w:rsid w:val="00840C7B"/>
    <w:rsid w:val="00845168"/>
    <w:rsid w:val="00852960"/>
    <w:rsid w:val="00863D7A"/>
    <w:rsid w:val="008661EF"/>
    <w:rsid w:val="00881A11"/>
    <w:rsid w:val="00897B9D"/>
    <w:rsid w:val="008A0BA9"/>
    <w:rsid w:val="008A2ADC"/>
    <w:rsid w:val="008A687B"/>
    <w:rsid w:val="008B4618"/>
    <w:rsid w:val="008D334B"/>
    <w:rsid w:val="008F23B4"/>
    <w:rsid w:val="008F3940"/>
    <w:rsid w:val="00901C3D"/>
    <w:rsid w:val="009119BC"/>
    <w:rsid w:val="00916339"/>
    <w:rsid w:val="00941295"/>
    <w:rsid w:val="00942D61"/>
    <w:rsid w:val="009513EE"/>
    <w:rsid w:val="009A7794"/>
    <w:rsid w:val="009C4EE0"/>
    <w:rsid w:val="009E32D7"/>
    <w:rsid w:val="009F09D0"/>
    <w:rsid w:val="00A12153"/>
    <w:rsid w:val="00A237BF"/>
    <w:rsid w:val="00A3600C"/>
    <w:rsid w:val="00A62B0F"/>
    <w:rsid w:val="00A6705E"/>
    <w:rsid w:val="00A72AE5"/>
    <w:rsid w:val="00A83541"/>
    <w:rsid w:val="00A9183B"/>
    <w:rsid w:val="00AB18E5"/>
    <w:rsid w:val="00AB3692"/>
    <w:rsid w:val="00AD5D61"/>
    <w:rsid w:val="00AE0153"/>
    <w:rsid w:val="00AE7292"/>
    <w:rsid w:val="00AF3F04"/>
    <w:rsid w:val="00B01CDD"/>
    <w:rsid w:val="00B02732"/>
    <w:rsid w:val="00B039A0"/>
    <w:rsid w:val="00B214BA"/>
    <w:rsid w:val="00B254BB"/>
    <w:rsid w:val="00B31B7A"/>
    <w:rsid w:val="00B4163C"/>
    <w:rsid w:val="00B4470B"/>
    <w:rsid w:val="00B614B9"/>
    <w:rsid w:val="00B7517D"/>
    <w:rsid w:val="00BB1E8A"/>
    <w:rsid w:val="00BC6D62"/>
    <w:rsid w:val="00BE10B2"/>
    <w:rsid w:val="00BF085B"/>
    <w:rsid w:val="00C02378"/>
    <w:rsid w:val="00C03457"/>
    <w:rsid w:val="00C17F99"/>
    <w:rsid w:val="00C21735"/>
    <w:rsid w:val="00C3048C"/>
    <w:rsid w:val="00C41382"/>
    <w:rsid w:val="00C85C9B"/>
    <w:rsid w:val="00CA27AC"/>
    <w:rsid w:val="00D30EA5"/>
    <w:rsid w:val="00D41A24"/>
    <w:rsid w:val="00D447FD"/>
    <w:rsid w:val="00D45BD7"/>
    <w:rsid w:val="00D51390"/>
    <w:rsid w:val="00D518B4"/>
    <w:rsid w:val="00D72469"/>
    <w:rsid w:val="00D84901"/>
    <w:rsid w:val="00DC7925"/>
    <w:rsid w:val="00DD6217"/>
    <w:rsid w:val="00DE0168"/>
    <w:rsid w:val="00DF1BB1"/>
    <w:rsid w:val="00DF5DBD"/>
    <w:rsid w:val="00E019E4"/>
    <w:rsid w:val="00E20B00"/>
    <w:rsid w:val="00E33A29"/>
    <w:rsid w:val="00E76C95"/>
    <w:rsid w:val="00E8008B"/>
    <w:rsid w:val="00E91972"/>
    <w:rsid w:val="00EC080C"/>
    <w:rsid w:val="00EE4B19"/>
    <w:rsid w:val="00F73643"/>
    <w:rsid w:val="00FA2AA5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63C"/>
    <w:rPr>
      <w:color w:val="808080"/>
    </w:rPr>
  </w:style>
  <w:style w:type="paragraph" w:customStyle="1" w:styleId="DF8AB08BBF2A4DF9B604A3F8B009D318">
    <w:name w:val="DF8AB08BBF2A4DF9B604A3F8B009D318"/>
  </w:style>
  <w:style w:type="paragraph" w:customStyle="1" w:styleId="30A8B7ED22664C7C8C44B9C117DF14F2">
    <w:name w:val="30A8B7ED22664C7C8C44B9C117DF14F2"/>
  </w:style>
  <w:style w:type="paragraph" w:customStyle="1" w:styleId="950FFF81B14A497F9EAE2D32F234DE67">
    <w:name w:val="950FFF81B14A497F9EAE2D32F234DE67"/>
    <w:rsid w:val="00B4163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1A4C6-77AC-4229-9463-FE076E08B84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B5F347-94C7-4CBB-8C5E-5EC39EC6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sprava-zeleznic_zprava_analyza_v9_SABLONA</Template>
  <TotalTime>71</TotalTime>
  <Pages>1</Pages>
  <Words>5279</Words>
  <Characters>31147</Characters>
  <Application>Microsoft Office Word</Application>
  <DocSecurity>0</DocSecurity>
  <Lines>259</Lines>
  <Paragraphs>72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Záměr projektu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36354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Záměr projektu</dc:title>
  <dc:creator>Kratochvíl Petr, Ing.</dc:creator>
  <cp:lastModifiedBy>Fridrich Karel, Ing.</cp:lastModifiedBy>
  <cp:revision>7</cp:revision>
  <cp:lastPrinted>2023-10-20T07:11:00Z</cp:lastPrinted>
  <dcterms:created xsi:type="dcterms:W3CDTF">2023-10-17T12:10:00Z</dcterms:created>
  <dcterms:modified xsi:type="dcterms:W3CDTF">2023-10-20T07:18:00Z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