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18F9CC7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o splnění podmínek v souvislosti </w:t>
      </w:r>
      <w:r w:rsidR="00DD7684">
        <w:rPr>
          <w:rFonts w:ascii="Verdana" w:hAnsi="Verdana" w:cstheme="minorHAnsi"/>
          <w:b/>
          <w:sz w:val="28"/>
          <w:szCs w:val="28"/>
          <w:lang w:val="cs-CZ"/>
        </w:rPr>
        <w:br/>
      </w:r>
      <w:r w:rsidRPr="00E14E7F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23F43F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108D0" w:rsidRPr="00C108D0">
        <w:rPr>
          <w:rFonts w:ascii="Verdana" w:hAnsi="Verdana"/>
          <w:b/>
          <w:sz w:val="18"/>
          <w:szCs w:val="18"/>
        </w:rPr>
        <w:t>„Zajištění vývozu a likvidace obsahu žump, jímek a septiků v obvodu OŘ Praha 2024 - 2025“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5EBEADA4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</w:t>
      </w:r>
      <w:r w:rsidR="00DD7684">
        <w:rPr>
          <w:rFonts w:ascii="Verdana" w:hAnsi="Verdana"/>
          <w:sz w:val="18"/>
          <w:szCs w:val="18"/>
        </w:rPr>
        <w:br/>
      </w:r>
      <w:r w:rsidRPr="0090011C">
        <w:rPr>
          <w:rFonts w:ascii="Verdana" w:hAnsi="Verdana"/>
          <w:sz w:val="18"/>
          <w:szCs w:val="18"/>
        </w:rPr>
        <w:t xml:space="preserve">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 xml:space="preserve">anebo osobami dle čl. 2 nařízení Rady (EU) č. 208/2014 ze dne 5. března 2014 </w:t>
      </w:r>
      <w:r w:rsidR="00A81F29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br/>
      </w:r>
      <w:bookmarkStart w:id="0" w:name="_GoBack"/>
      <w:bookmarkEnd w:id="0"/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81F29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108D0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D7684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12006-2751-42CC-AA26-4EA9EFEB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436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2023-06-05T11:49:00Z</dcterms:created>
  <dcterms:modified xsi:type="dcterms:W3CDTF">2024-04-16T06:04:00Z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