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63B3EFB2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 xml:space="preserve">v souvislosti s ustanovením 3 odst. 1 zákona č. 340/2015 Sb., o zvláštních podmínkách účinnosti některých smluv, uveřejňování těchto smluv a o registru smluv (zákon </w:t>
      </w:r>
      <w:r w:rsidR="005F68F3">
        <w:rPr>
          <w:rStyle w:val="Siln"/>
        </w:rPr>
        <w:br/>
      </w:r>
      <w:r w:rsidRPr="00986260">
        <w:rPr>
          <w:rStyle w:val="Siln"/>
        </w:rPr>
        <w:t>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BE16E3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925C6" w:rsidRPr="00A925C6">
        <w:rPr>
          <w:rStyle w:val="Siln"/>
        </w:rPr>
        <w:t>Zajištění vývozu a likvidace obsahu žump, jímek a septiků v obvodu OŘ Praha 2024 - 2025“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A925C6">
        <w:rPr>
          <w:rFonts w:eastAsia="Times New Roman" w:cs="Times New Roman"/>
          <w:lang w:eastAsia="cs-CZ"/>
        </w:rPr>
        <w:t>č.j.</w:t>
      </w:r>
      <w:proofErr w:type="gramEnd"/>
      <w:r w:rsidRPr="00A925C6">
        <w:rPr>
          <w:rFonts w:eastAsia="Times New Roman" w:cs="Times New Roman"/>
          <w:lang w:eastAsia="cs-CZ"/>
        </w:rPr>
        <w:t xml:space="preserve"> </w:t>
      </w:r>
      <w:r w:rsidR="00A925C6" w:rsidRPr="00A925C6">
        <w:rPr>
          <w:rFonts w:eastAsia="Times New Roman" w:cs="Times New Roman"/>
          <w:lang w:eastAsia="cs-CZ"/>
        </w:rPr>
        <w:t>14819/2024-SŽ-OŘ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F68F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F68F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03655C4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</w:t>
      </w:r>
      <w:r w:rsidR="005F68F3">
        <w:rPr>
          <w:rFonts w:eastAsia="Calibri" w:cs="Times New Roman"/>
        </w:rPr>
        <w:br/>
      </w:r>
      <w:bookmarkStart w:id="1" w:name="_GoBack"/>
      <w:bookmarkEnd w:id="1"/>
      <w:r w:rsidR="00D45C59">
        <w:rPr>
          <w:rFonts w:eastAsia="Calibri" w:cs="Times New Roman"/>
        </w:rPr>
        <w:t>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08753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5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5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D62BC1B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8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8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5F68F3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5C6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4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AE00-7804-4B0A-80D8-2923CD61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2023-11-16T10:29:00Z</dcterms:created>
  <dcterms:modified xsi:type="dcterms:W3CDTF">2024-04-15T09:07:00Z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