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2BB91284"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sidRPr="00DC1D3E">
        <w:rPr>
          <w:rFonts w:eastAsia="Times New Roman" w:cs="Times New Roman"/>
          <w:lang w:eastAsia="cs-CZ"/>
        </w:rPr>
        <w:t xml:space="preserve">Příloha č. </w:t>
      </w:r>
      <w:r w:rsidR="00664696" w:rsidRPr="00DC1D3E">
        <w:rPr>
          <w:rFonts w:eastAsia="Times New Roman" w:cs="Times New Roman"/>
          <w:lang w:eastAsia="cs-CZ"/>
        </w:rPr>
        <w:t>3</w:t>
      </w:r>
      <w:r w:rsidR="00DB295F" w:rsidRPr="00DC1D3E">
        <w:rPr>
          <w:rFonts w:eastAsia="Times New Roman" w:cs="Times New Roman"/>
          <w:lang w:eastAsia="cs-CZ"/>
        </w:rPr>
        <w:t xml:space="preserve"> Výzvy k podání</w:t>
      </w:r>
      <w:r w:rsidR="00DB295F" w:rsidRPr="00DB295F">
        <w:rPr>
          <w:rFonts w:eastAsia="Times New Roman" w:cs="Times New Roman"/>
          <w:lang w:eastAsia="cs-CZ"/>
        </w:rPr>
        <w:t xml:space="preserve">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78593426" w:rsidR="00503B7A" w:rsidRPr="00321172" w:rsidRDefault="00503B7A" w:rsidP="00321172">
      <w:pPr>
        <w:widowControl w:val="0"/>
        <w:rPr>
          <w:highlight w:val="green"/>
        </w:rPr>
      </w:pPr>
      <w:r w:rsidRPr="002721A9">
        <w:rPr>
          <w:b/>
          <w:highlight w:val="lightGray"/>
        </w:rPr>
        <w:t xml:space="preserve">Číslo smlouvy </w:t>
      </w:r>
      <w:r w:rsidR="00E174B0" w:rsidRPr="002721A9">
        <w:rPr>
          <w:b/>
          <w:highlight w:val="lightGray"/>
        </w:rPr>
        <w:t>O</w:t>
      </w:r>
      <w:r w:rsidRPr="002721A9">
        <w:rPr>
          <w:b/>
          <w:highlight w:val="lightGray"/>
        </w:rPr>
        <w:t xml:space="preserve">bjednatele </w:t>
      </w:r>
      <w:r w:rsidR="008B24C9" w:rsidRPr="002721A9">
        <w:rPr>
          <w:rFonts w:ascii="Verdana" w:hAnsi="Verdana" w:cstheme="minorHAnsi"/>
          <w:highlight w:val="lightGray"/>
        </w:rPr>
        <w:t>[DOPLNÍ OBJEDNATEL PŘI PODPISU SMLOUVY]</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 xml:space="preserve">e </w:t>
      </w:r>
      <w:r w:rsidR="008B24C9" w:rsidRPr="008B24C9">
        <w:rPr>
          <w:rFonts w:ascii="Verdana" w:hAnsi="Verdana"/>
          <w:highlight w:val="green"/>
        </w:rPr>
        <w:t>[DOPLNÍ POSKYTOVATEL]</w:t>
      </w:r>
    </w:p>
    <w:p w14:paraId="55A13EF4" w14:textId="77777777" w:rsid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3A1DDA">
        <w:rPr>
          <w:rFonts w:eastAsia="Times New Roman" w:cs="Times New Roman"/>
          <w:b/>
          <w:bCs/>
          <w:lang w:eastAsia="cs-CZ"/>
        </w:rPr>
        <w:t>Občanský zákoník</w:t>
      </w:r>
      <w:r w:rsidRPr="004E1498">
        <w:rPr>
          <w:rFonts w:eastAsia="Times New Roman" w:cs="Times New Roman"/>
          <w:lang w:eastAsia="cs-CZ"/>
        </w:rPr>
        <w:t>“)</w:t>
      </w:r>
    </w:p>
    <w:p w14:paraId="52C55BE6" w14:textId="77777777" w:rsidR="003A1DDA" w:rsidRDefault="003A1DDA"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5EEE5F4" w14:textId="7C7D0E46" w:rsidR="003A1DDA" w:rsidRPr="004E1498" w:rsidRDefault="003A1DDA"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3A1DDA">
        <w:rPr>
          <w:rFonts w:eastAsia="Times New Roman" w:cs="Times New Roman"/>
          <w:b/>
          <w:bCs/>
          <w:lang w:eastAsia="cs-CZ"/>
        </w:rPr>
        <w:t>Smlouva</w:t>
      </w:r>
      <w:r>
        <w:rPr>
          <w:rFonts w:eastAsia="Times New Roman" w:cs="Times New Roman"/>
          <w:lang w:eastAsia="cs-CZ"/>
        </w:rPr>
        <w:t>“)</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00205FC8" w:rsidR="004E1498" w:rsidRPr="004E1498" w:rsidRDefault="004E1498" w:rsidP="003A1DDA">
      <w:pPr>
        <w:widowControl w:val="0"/>
        <w:tabs>
          <w:tab w:val="left" w:pos="1560"/>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261DB39F" w:rsidR="004E1498" w:rsidRPr="004E1498" w:rsidRDefault="004E1498" w:rsidP="003A1DDA">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w:t>
      </w:r>
      <w:r w:rsidR="003A1DDA">
        <w:rPr>
          <w:rFonts w:eastAsia="Times New Roman" w:cs="Times New Roman"/>
          <w:lang w:eastAsia="cs-CZ"/>
        </w:rPr>
        <w:t> </w:t>
      </w:r>
      <w:r w:rsidRPr="004E1498">
        <w:rPr>
          <w:rFonts w:eastAsia="Times New Roman" w:cs="Times New Roman"/>
          <w:lang w:eastAsia="cs-CZ"/>
        </w:rPr>
        <w:t>zn.</w:t>
      </w:r>
      <w:r w:rsidR="003A1DDA">
        <w:rPr>
          <w:rFonts w:eastAsia="Times New Roman" w:cs="Times New Roman"/>
          <w:lang w:eastAsia="cs-CZ"/>
        </w:rPr>
        <w:t> </w:t>
      </w:r>
      <w:r w:rsidRPr="004E1498">
        <w:rPr>
          <w:rFonts w:eastAsia="Times New Roman" w:cs="Times New Roman"/>
          <w:lang w:eastAsia="cs-CZ"/>
        </w:rPr>
        <w:t>A</w:t>
      </w:r>
      <w:r w:rsidR="003A1DDA">
        <w:rPr>
          <w:rFonts w:eastAsia="Times New Roman" w:cs="Times New Roman"/>
          <w:lang w:eastAsia="cs-CZ"/>
        </w:rPr>
        <w:t> </w:t>
      </w:r>
      <w:r w:rsidRPr="004E1498">
        <w:rPr>
          <w:rFonts w:eastAsia="Times New Roman" w:cs="Times New Roman"/>
          <w:lang w:eastAsia="cs-CZ"/>
        </w:rPr>
        <w:t>48384</w:t>
      </w:r>
    </w:p>
    <w:p w14:paraId="5987C205" w14:textId="52F6BF59" w:rsidR="004E1498" w:rsidRPr="004E1498" w:rsidRDefault="004E1498" w:rsidP="003A1DDA">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4E1498">
        <w:rPr>
          <w:rFonts w:eastAsia="Times New Roman" w:cs="Times New Roman"/>
          <w:lang w:eastAsia="cs-CZ"/>
        </w:rPr>
        <w:t>Praha 1 - Nové Město, Dlážděná 1003/7, PSČ 110 00</w:t>
      </w:r>
    </w:p>
    <w:p w14:paraId="482B2557" w14:textId="2A1646E3" w:rsidR="004E1498" w:rsidRPr="004E1498" w:rsidRDefault="004E1498" w:rsidP="003A1DDA">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4E1498">
        <w:rPr>
          <w:rFonts w:eastAsia="Times New Roman" w:cs="Times New Roman"/>
          <w:lang w:eastAsia="cs-CZ"/>
        </w:rPr>
        <w:t>IČO 70994234, DIČ CZ70994234</w:t>
      </w:r>
    </w:p>
    <w:p w14:paraId="3A44472F" w14:textId="232AACF5" w:rsidR="004E1498" w:rsidRPr="004E1498" w:rsidRDefault="004E1498" w:rsidP="003A1DDA">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2721A9">
        <w:rPr>
          <w:rFonts w:eastAsia="Times New Roman" w:cs="Times New Roman"/>
          <w:lang w:eastAsia="cs-CZ"/>
        </w:rPr>
        <w:t xml:space="preserve">zastoupená </w:t>
      </w:r>
      <w:r w:rsidR="002721A9" w:rsidRPr="002721A9">
        <w:rPr>
          <w:rFonts w:ascii="Calibri" w:hAnsi="Calibri"/>
          <w:b/>
          <w:sz w:val="22"/>
          <w:szCs w:val="22"/>
        </w:rPr>
        <w:t>Bc. Jiřím Svobodou, MBA, generálním ředitelem</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CC3B95E" w14:textId="7683DA13" w:rsidR="004E1498" w:rsidRPr="002721A9" w:rsidRDefault="002721A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2721A9">
        <w:rPr>
          <w:rFonts w:eastAsia="Times New Roman" w:cs="Times New Roman"/>
          <w:lang w:eastAsia="cs-CZ"/>
        </w:rPr>
        <w:t>(dále jen „</w:t>
      </w:r>
      <w:r w:rsidRPr="003A1DDA">
        <w:rPr>
          <w:rFonts w:eastAsia="Times New Roman" w:cs="Times New Roman"/>
          <w:b/>
          <w:bCs/>
          <w:lang w:eastAsia="cs-CZ"/>
        </w:rPr>
        <w:t>Objednatel</w:t>
      </w:r>
      <w:r w:rsidRPr="002721A9">
        <w:rPr>
          <w:rFonts w:eastAsia="Times New Roman" w:cs="Times New Roman"/>
          <w:lang w:eastAsia="cs-CZ"/>
        </w:rPr>
        <w:t>“)</w:t>
      </w: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4D70A84E" w:rsidR="008E1E86" w:rsidRPr="00321172" w:rsidRDefault="00E73DA0" w:rsidP="003A1DDA">
      <w:pPr>
        <w:widowControl w:val="0"/>
        <w:tabs>
          <w:tab w:val="left" w:pos="1560"/>
        </w:tabs>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3A1DDA">
        <w:rPr>
          <w:rFonts w:eastAsia="Times New Roman" w:cs="Times New Roman"/>
          <w:b/>
          <w:bCs/>
          <w:lang w:eastAsia="cs-CZ"/>
        </w:rPr>
        <w:tab/>
      </w:r>
      <w:r w:rsidR="003A1DDA" w:rsidRPr="003A1DDA">
        <w:rPr>
          <w:rFonts w:eastAsia="Times New Roman" w:cs="Times New Roman"/>
          <w:b/>
          <w:bCs/>
          <w:highlight w:val="green"/>
          <w:lang w:eastAsia="cs-CZ"/>
        </w:rPr>
        <w:t>J</w:t>
      </w:r>
      <w:r w:rsidR="008E1E86" w:rsidRPr="003A1DDA">
        <w:rPr>
          <w:rFonts w:eastAsia="Times New Roman" w:cs="Times New Roman"/>
          <w:b/>
          <w:bCs/>
          <w:highlight w:val="green"/>
          <w:lang w:eastAsia="cs-CZ"/>
        </w:rPr>
        <w:t>méno osoby/název firmy</w:t>
      </w:r>
      <w:r w:rsidR="008B24C9" w:rsidRPr="003A1DDA">
        <w:rPr>
          <w:rFonts w:eastAsia="Times New Roman" w:cs="Times New Roman"/>
          <w:b/>
          <w:bCs/>
          <w:highlight w:val="green"/>
          <w:lang w:eastAsia="cs-CZ"/>
        </w:rPr>
        <w:t xml:space="preserve"> </w:t>
      </w:r>
      <w:r w:rsidR="008B24C9" w:rsidRPr="003A1DDA">
        <w:rPr>
          <w:rFonts w:ascii="Verdana" w:hAnsi="Verdana"/>
          <w:b/>
          <w:bCs/>
          <w:highlight w:val="green"/>
        </w:rPr>
        <w:t>[DOPLNÍ POSKYTOVATEL]</w:t>
      </w:r>
    </w:p>
    <w:p w14:paraId="19E73E8B" w14:textId="71DD3CDA" w:rsidR="008E1E86" w:rsidRPr="00321172" w:rsidRDefault="008E1E86" w:rsidP="003A1DDA">
      <w:pPr>
        <w:widowControl w:val="0"/>
        <w:overflowPunct w:val="0"/>
        <w:autoSpaceDE w:val="0"/>
        <w:autoSpaceDN w:val="0"/>
        <w:adjustRightInd w:val="0"/>
        <w:spacing w:after="0" w:line="240" w:lineRule="auto"/>
        <w:ind w:left="1560"/>
        <w:jc w:val="both"/>
        <w:textAlignment w:val="baseline"/>
        <w:rPr>
          <w:rFonts w:eastAsia="Times New Roman" w:cs="Times New Roman"/>
          <w:highlight w:val="green"/>
          <w:lang w:eastAsia="cs-CZ"/>
        </w:rPr>
      </w:pPr>
      <w:r w:rsidRPr="00321172">
        <w:rPr>
          <w:rFonts w:eastAsia="Times New Roman" w:cs="Times New Roman"/>
          <w:highlight w:val="green"/>
          <w:lang w:eastAsia="cs-CZ"/>
        </w:rPr>
        <w:t>údaje o zápisu v evidenci</w:t>
      </w:r>
    </w:p>
    <w:p w14:paraId="57570FFE" w14:textId="41493EE9" w:rsidR="008E1E86" w:rsidRPr="00321172" w:rsidRDefault="008E1E86" w:rsidP="003A1DDA">
      <w:pPr>
        <w:widowControl w:val="0"/>
        <w:overflowPunct w:val="0"/>
        <w:autoSpaceDE w:val="0"/>
        <w:autoSpaceDN w:val="0"/>
        <w:adjustRightInd w:val="0"/>
        <w:spacing w:after="0" w:line="240" w:lineRule="auto"/>
        <w:ind w:left="1560"/>
        <w:jc w:val="both"/>
        <w:textAlignment w:val="baseline"/>
        <w:rPr>
          <w:rFonts w:eastAsia="Times New Roman" w:cs="Times New Roman"/>
          <w:highlight w:val="green"/>
          <w:lang w:eastAsia="cs-CZ"/>
        </w:rPr>
      </w:pPr>
      <w:r w:rsidRPr="00321172">
        <w:rPr>
          <w:rFonts w:eastAsia="Times New Roman" w:cs="Times New Roman"/>
          <w:highlight w:val="green"/>
          <w:lang w:eastAsia="cs-CZ"/>
        </w:rPr>
        <w:t>Sídlo:</w:t>
      </w:r>
    </w:p>
    <w:p w14:paraId="420D77A3" w14:textId="27A30233" w:rsidR="008E1E86" w:rsidRPr="00321172" w:rsidRDefault="008E1E86" w:rsidP="003A1DDA">
      <w:pPr>
        <w:widowControl w:val="0"/>
        <w:overflowPunct w:val="0"/>
        <w:autoSpaceDE w:val="0"/>
        <w:autoSpaceDN w:val="0"/>
        <w:adjustRightInd w:val="0"/>
        <w:spacing w:after="0" w:line="240" w:lineRule="auto"/>
        <w:ind w:left="1560"/>
        <w:jc w:val="both"/>
        <w:textAlignment w:val="baseline"/>
        <w:rPr>
          <w:rFonts w:eastAsia="Times New Roman" w:cs="Times New Roman"/>
          <w:highlight w:val="green"/>
          <w:lang w:eastAsia="cs-CZ"/>
        </w:rPr>
      </w:pPr>
      <w:r w:rsidRPr="00321172">
        <w:rPr>
          <w:rFonts w:eastAsia="Times New Roman" w:cs="Times New Roman"/>
          <w:highlight w:val="green"/>
          <w:lang w:eastAsia="cs-CZ"/>
        </w:rPr>
        <w:t>IČO ……………………, DIČ …………………</w:t>
      </w:r>
    </w:p>
    <w:p w14:paraId="19B3856E" w14:textId="06FD7D63" w:rsidR="008E1E86" w:rsidRPr="00321172" w:rsidRDefault="003A1DDA" w:rsidP="003A1DDA">
      <w:pPr>
        <w:widowControl w:val="0"/>
        <w:overflowPunct w:val="0"/>
        <w:autoSpaceDE w:val="0"/>
        <w:autoSpaceDN w:val="0"/>
        <w:adjustRightInd w:val="0"/>
        <w:spacing w:after="0" w:line="240" w:lineRule="auto"/>
        <w:ind w:left="1560"/>
        <w:jc w:val="both"/>
        <w:textAlignment w:val="baseline"/>
        <w:rPr>
          <w:rFonts w:eastAsia="Times New Roman" w:cs="Times New Roman"/>
          <w:highlight w:val="green"/>
          <w:lang w:eastAsia="cs-CZ"/>
        </w:rPr>
      </w:pPr>
      <w:r>
        <w:rPr>
          <w:rFonts w:eastAsia="Times New Roman" w:cs="Times New Roman"/>
          <w:highlight w:val="green"/>
          <w:lang w:eastAsia="cs-CZ"/>
        </w:rPr>
        <w:t>Ba</w:t>
      </w:r>
      <w:r w:rsidR="008E1E86" w:rsidRPr="00321172">
        <w:rPr>
          <w:rFonts w:eastAsia="Times New Roman" w:cs="Times New Roman"/>
          <w:highlight w:val="green"/>
          <w:lang w:eastAsia="cs-CZ"/>
        </w:rPr>
        <w:t xml:space="preserve">nkovní </w:t>
      </w:r>
      <w:proofErr w:type="gramStart"/>
      <w:r w:rsidR="008E1E86" w:rsidRPr="00321172">
        <w:rPr>
          <w:rFonts w:eastAsia="Times New Roman" w:cs="Times New Roman"/>
          <w:highlight w:val="green"/>
          <w:lang w:eastAsia="cs-CZ"/>
        </w:rPr>
        <w:t>spojení:…</w:t>
      </w:r>
      <w:proofErr w:type="gramEnd"/>
      <w:r w:rsidR="008E1E86" w:rsidRPr="00321172">
        <w:rPr>
          <w:rFonts w:eastAsia="Times New Roman" w:cs="Times New Roman"/>
          <w:highlight w:val="green"/>
          <w:lang w:eastAsia="cs-CZ"/>
        </w:rPr>
        <w:t>…………………..</w:t>
      </w:r>
    </w:p>
    <w:p w14:paraId="17127EF1" w14:textId="77777777" w:rsidR="008E1E86" w:rsidRPr="00321172" w:rsidRDefault="008E1E86" w:rsidP="003A1DDA">
      <w:pPr>
        <w:widowControl w:val="0"/>
        <w:overflowPunct w:val="0"/>
        <w:autoSpaceDE w:val="0"/>
        <w:autoSpaceDN w:val="0"/>
        <w:adjustRightInd w:val="0"/>
        <w:spacing w:after="0" w:line="240" w:lineRule="auto"/>
        <w:ind w:left="1560"/>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Číslo </w:t>
      </w:r>
      <w:proofErr w:type="gramStart"/>
      <w:r w:rsidRPr="00321172">
        <w:rPr>
          <w:rFonts w:eastAsia="Times New Roman" w:cs="Times New Roman"/>
          <w:highlight w:val="green"/>
          <w:lang w:eastAsia="cs-CZ"/>
        </w:rPr>
        <w:t>účtu:…</w:t>
      </w:r>
      <w:proofErr w:type="gramEnd"/>
      <w:r w:rsidRPr="00321172">
        <w:rPr>
          <w:rFonts w:eastAsia="Times New Roman" w:cs="Times New Roman"/>
          <w:highlight w:val="green"/>
          <w:lang w:eastAsia="cs-CZ"/>
        </w:rPr>
        <w:t>………………………..</w:t>
      </w:r>
    </w:p>
    <w:p w14:paraId="3B9C9CF2" w14:textId="6F5A4F81" w:rsidR="008E1E86" w:rsidRPr="00321172" w:rsidRDefault="008E1E86" w:rsidP="003A1DDA">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484EBE82" w14:textId="77777777" w:rsidR="00C74DB7" w:rsidRDefault="002721A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3A1DDA">
        <w:rPr>
          <w:rFonts w:eastAsia="Times New Roman" w:cs="Times New Roman"/>
          <w:b/>
          <w:bCs/>
          <w:lang w:eastAsia="cs-CZ"/>
        </w:rPr>
        <w:t>Poskytovatel</w:t>
      </w:r>
      <w:r>
        <w:rPr>
          <w:rFonts w:eastAsia="Times New Roman" w:cs="Times New Roman"/>
          <w:lang w:eastAsia="cs-CZ"/>
        </w:rPr>
        <w:t>“)</w:t>
      </w:r>
    </w:p>
    <w:p w14:paraId="183AF9BC" w14:textId="60BF0E0C" w:rsidR="008E1E86"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4E1F13A4" w14:textId="6B6A24F2" w:rsidR="00FF06BE" w:rsidRDefault="00FF06BE" w:rsidP="00321172">
      <w:pPr>
        <w:widowControl w:val="0"/>
        <w:overflowPunct w:val="0"/>
        <w:autoSpaceDE w:val="0"/>
        <w:autoSpaceDN w:val="0"/>
        <w:adjustRightInd w:val="0"/>
        <w:spacing w:after="0" w:line="240" w:lineRule="auto"/>
        <w:jc w:val="both"/>
        <w:textAlignment w:val="baseline"/>
        <w:rPr>
          <w:rFonts w:eastAsia="Times New Roman" w:cs="Times New Roman"/>
          <w:iCs/>
          <w:lang w:eastAsia="cs-CZ"/>
        </w:rPr>
      </w:pPr>
      <w:r w:rsidRPr="00FF06BE">
        <w:rPr>
          <w:rFonts w:eastAsia="Times New Roman" w:cs="Times New Roman"/>
          <w:iCs/>
          <w:lang w:eastAsia="cs-CZ"/>
        </w:rPr>
        <w:t>(Objednatel a Poskytovatel společně též jako „</w:t>
      </w:r>
      <w:r w:rsidRPr="00FF06BE">
        <w:rPr>
          <w:rFonts w:eastAsia="Times New Roman" w:cs="Times New Roman"/>
          <w:b/>
          <w:bCs/>
          <w:iCs/>
          <w:lang w:eastAsia="cs-CZ"/>
        </w:rPr>
        <w:t>Smluvní strany</w:t>
      </w:r>
      <w:r w:rsidRPr="00FF06BE">
        <w:rPr>
          <w:rFonts w:eastAsia="Times New Roman" w:cs="Times New Roman"/>
          <w:iCs/>
          <w:lang w:eastAsia="cs-CZ"/>
        </w:rPr>
        <w:t>“)</w:t>
      </w:r>
    </w:p>
    <w:p w14:paraId="59CE5618" w14:textId="77777777" w:rsidR="00FF06BE" w:rsidRPr="00FF06BE" w:rsidRDefault="00FF06BE" w:rsidP="00321172">
      <w:pPr>
        <w:widowControl w:val="0"/>
        <w:overflowPunct w:val="0"/>
        <w:autoSpaceDE w:val="0"/>
        <w:autoSpaceDN w:val="0"/>
        <w:adjustRightInd w:val="0"/>
        <w:spacing w:after="0" w:line="240" w:lineRule="auto"/>
        <w:jc w:val="both"/>
        <w:textAlignment w:val="baseline"/>
        <w:rPr>
          <w:rFonts w:eastAsia="Times New Roman" w:cs="Times New Roman"/>
          <w:iCs/>
          <w:lang w:eastAsia="cs-CZ"/>
        </w:rPr>
      </w:pPr>
    </w:p>
    <w:p w14:paraId="39ABE117" w14:textId="3CF9A813" w:rsidR="004E1498" w:rsidRPr="004E1498" w:rsidRDefault="004E1498" w:rsidP="0062502C">
      <w:pPr>
        <w:widowControl w:val="0"/>
        <w:jc w:val="both"/>
        <w:rPr>
          <w:rFonts w:eastAsia="Times New Roman" w:cs="Times New Roman"/>
          <w:lang w:eastAsia="cs-CZ"/>
        </w:rPr>
      </w:pPr>
      <w:r w:rsidRPr="004E1498">
        <w:rPr>
          <w:rFonts w:eastAsia="Times New Roman" w:cs="Times New Roman"/>
          <w:lang w:eastAsia="cs-CZ"/>
        </w:rPr>
        <w:t xml:space="preserve">Tato </w:t>
      </w:r>
      <w:r w:rsidR="00FF06BE">
        <w:rPr>
          <w:rFonts w:eastAsia="Times New Roman" w:cs="Times New Roman"/>
          <w:lang w:eastAsia="cs-CZ"/>
        </w:rPr>
        <w:t>Smlou</w:t>
      </w:r>
      <w:r w:rsidRPr="004E1498">
        <w:rPr>
          <w:rFonts w:eastAsia="Times New Roman" w:cs="Times New Roman"/>
          <w:lang w:eastAsia="cs-CZ"/>
        </w:rPr>
        <w:t>va je uzavřena na základě výsledk</w:t>
      </w:r>
      <w:r w:rsidRPr="002721A9">
        <w:rPr>
          <w:rFonts w:eastAsia="Times New Roman" w:cs="Times New Roman"/>
          <w:lang w:eastAsia="cs-CZ"/>
        </w:rPr>
        <w:t xml:space="preserve">ů </w:t>
      </w:r>
      <w:r w:rsidR="00AE74AE" w:rsidRPr="002721A9">
        <w:rPr>
          <w:rFonts w:eastAsia="Times New Roman" w:cs="Times New Roman"/>
          <w:lang w:eastAsia="cs-CZ"/>
        </w:rPr>
        <w:t>výběrového</w:t>
      </w:r>
      <w:r w:rsidRPr="002721A9">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6062F9" w:rsidRPr="002721A9">
        <w:rPr>
          <w:rFonts w:eastAsia="Times New Roman" w:cs="Times New Roman"/>
          <w:b/>
          <w:lang w:eastAsia="cs-CZ"/>
        </w:rPr>
        <w:t>„</w:t>
      </w:r>
      <w:r w:rsidR="002721A9" w:rsidRPr="002721A9">
        <w:rPr>
          <w:rFonts w:eastAsia="Times New Roman" w:cs="Times New Roman"/>
          <w:b/>
          <w:lang w:eastAsia="cs-CZ"/>
        </w:rPr>
        <w:t>Psychometrie</w:t>
      </w:r>
      <w:r w:rsidR="006062F9" w:rsidRPr="002721A9">
        <w:rPr>
          <w:rFonts w:eastAsia="Times New Roman" w:cs="Times New Roman"/>
          <w:lang w:eastAsia="cs-CZ"/>
        </w:rPr>
        <w:t>“,</w:t>
      </w:r>
      <w:r w:rsidR="006062F9" w:rsidRPr="006062F9">
        <w:rPr>
          <w:rFonts w:eastAsia="Times New Roman" w:cs="Times New Roman"/>
          <w:lang w:eastAsia="cs-CZ"/>
        </w:rPr>
        <w:t xml:space="preserve"> č. j. veřejné zakázky: </w:t>
      </w:r>
      <w:r w:rsidR="00AE0269" w:rsidRPr="00AE0269">
        <w:rPr>
          <w:rFonts w:eastAsia="Times New Roman" w:cs="Times New Roman"/>
          <w:lang w:eastAsia="cs-CZ"/>
        </w:rPr>
        <w:t xml:space="preserve">9527/2024-SŽ-GŘ-O8 </w:t>
      </w:r>
      <w:r w:rsidR="006062F9" w:rsidRPr="006062F9">
        <w:rPr>
          <w:rFonts w:eastAsia="Times New Roman" w:cs="Times New Roman"/>
          <w:lang w:eastAsia="cs-CZ"/>
        </w:rPr>
        <w:t>(dále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w:t>
      </w:r>
      <w:r w:rsidR="00FF06BE">
        <w:rPr>
          <w:rFonts w:eastAsia="Times New Roman" w:cs="Times New Roman"/>
          <w:lang w:eastAsia="cs-CZ"/>
        </w:rPr>
        <w:t>Smlou</w:t>
      </w:r>
      <w:r w:rsidR="006062F9" w:rsidRPr="006062F9">
        <w:rPr>
          <w:rFonts w:eastAsia="Times New Roman" w:cs="Times New Roman"/>
          <w:lang w:eastAsia="cs-CZ"/>
        </w:rPr>
        <w:t xml:space="preserve">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384C9BC5" w:rsidR="004E1498" w:rsidRPr="006062F9" w:rsidRDefault="00E73DA0" w:rsidP="00C74DB7">
      <w:pPr>
        <w:pStyle w:val="Nadpis2"/>
      </w:pPr>
      <w:r w:rsidRPr="006062F9">
        <w:t>Poskytovatel</w:t>
      </w:r>
      <w:r w:rsidR="004E1498" w:rsidRPr="006062F9">
        <w:t xml:space="preserve"> se zavazuje provést na svůj náklad a nebezpečí pro Objednatele </w:t>
      </w:r>
      <w:r w:rsidR="00FF06BE">
        <w:t>s</w:t>
      </w:r>
      <w:r w:rsidRPr="006062F9">
        <w:t>lužby, jež zahrnují</w:t>
      </w:r>
      <w:r w:rsidR="004E1498" w:rsidRPr="006062F9">
        <w:t xml:space="preserve"> </w:t>
      </w:r>
      <w:r w:rsidRPr="006062F9">
        <w:t>činnosti</w:t>
      </w:r>
      <w:r w:rsidR="004E1498" w:rsidRPr="006062F9">
        <w:t xml:space="preserve"> </w:t>
      </w:r>
      <w:r w:rsidR="00FF06BE">
        <w:t>p</w:t>
      </w:r>
      <w:r w:rsidR="004E1498" w:rsidRPr="006062F9">
        <w:t xml:space="preserve">ředmětu </w:t>
      </w:r>
      <w:r w:rsidRPr="006062F9">
        <w:t>služeb</w:t>
      </w:r>
      <w:r w:rsidR="004E1498" w:rsidRPr="006062F9">
        <w:t xml:space="preserve">, poskytnutí všech </w:t>
      </w:r>
      <w:r w:rsidR="00FF06BE">
        <w:t>s</w:t>
      </w:r>
      <w:r w:rsidR="004E1498" w:rsidRPr="006062F9">
        <w:t xml:space="preserve">ouvisejících plnění a předání </w:t>
      </w:r>
      <w:r w:rsidR="00FF06BE">
        <w:t>d</w:t>
      </w:r>
      <w:r w:rsidR="004E1498" w:rsidRPr="006062F9">
        <w:t>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10622EA7" w:rsidR="004E1498" w:rsidRDefault="004E1498" w:rsidP="00C74DB7">
      <w:pPr>
        <w:pStyle w:val="Nadpis2"/>
      </w:pPr>
      <w:r w:rsidRPr="006062F9">
        <w:t xml:space="preserve">Předmětem </w:t>
      </w:r>
      <w:r w:rsidR="00E73DA0" w:rsidRPr="006062F9">
        <w:t>služeb</w:t>
      </w:r>
      <w:r w:rsidR="002721A9">
        <w:t xml:space="preserve"> </w:t>
      </w:r>
      <w:r w:rsidR="002721A9" w:rsidRPr="002C4D2E">
        <w:t xml:space="preserve">je změření a zhodnocení schopností a potenciálu stávajícího managementu </w:t>
      </w:r>
      <w:r w:rsidR="002721A9">
        <w:t>Objednatele</w:t>
      </w:r>
      <w:r w:rsidR="002721A9" w:rsidRPr="002C4D2E">
        <w:t xml:space="preserve"> prostřednictvím on-line psychometrických nástrojů, které jsou určeny pro 1096 účastníků </w:t>
      </w:r>
      <w:r w:rsidR="00FF06BE">
        <w:t xml:space="preserve">projektu </w:t>
      </w:r>
      <w:r w:rsidR="002721A9" w:rsidRPr="002C4D2E">
        <w:t xml:space="preserve">Manažerské akademie rozdělených </w:t>
      </w:r>
      <w:r w:rsidR="002721A9" w:rsidRPr="00E1459D">
        <w:rPr>
          <w:b/>
        </w:rPr>
        <w:t>na 3 skupiny</w:t>
      </w:r>
      <w:r w:rsidR="002721A9" w:rsidRPr="002C4D2E">
        <w:t xml:space="preserve">: </w:t>
      </w:r>
      <w:r w:rsidR="002721A9" w:rsidRPr="00E1459D">
        <w:rPr>
          <w:b/>
        </w:rPr>
        <w:t>střední management</w:t>
      </w:r>
      <w:r w:rsidR="002721A9" w:rsidRPr="002C4D2E">
        <w:t xml:space="preserve"> (728 osob, </w:t>
      </w:r>
      <w:r w:rsidR="004F38D6">
        <w:t xml:space="preserve">vstupní </w:t>
      </w:r>
      <w:r w:rsidR="002721A9" w:rsidRPr="002C4D2E">
        <w:t xml:space="preserve">testování 2024 a </w:t>
      </w:r>
      <w:r w:rsidR="004F38D6">
        <w:t xml:space="preserve">výstupní testování </w:t>
      </w:r>
      <w:r w:rsidR="002721A9" w:rsidRPr="002C4D2E">
        <w:t xml:space="preserve">2026), </w:t>
      </w:r>
      <w:r w:rsidR="002721A9" w:rsidRPr="00E1459D">
        <w:rPr>
          <w:b/>
        </w:rPr>
        <w:t>top management</w:t>
      </w:r>
      <w:r w:rsidR="002721A9" w:rsidRPr="002C4D2E">
        <w:t xml:space="preserve"> (45 osob, </w:t>
      </w:r>
      <w:r w:rsidR="004F38D6">
        <w:t xml:space="preserve">vstupní </w:t>
      </w:r>
      <w:r w:rsidR="002721A9" w:rsidRPr="002C4D2E">
        <w:t xml:space="preserve">testování 2025 a </w:t>
      </w:r>
      <w:r w:rsidR="004F38D6">
        <w:t xml:space="preserve">výstupní testování </w:t>
      </w:r>
      <w:r w:rsidR="002721A9" w:rsidRPr="002C4D2E">
        <w:t xml:space="preserve">2027), a </w:t>
      </w:r>
      <w:r w:rsidR="002721A9" w:rsidRPr="00E1459D">
        <w:rPr>
          <w:b/>
        </w:rPr>
        <w:t>nižší management</w:t>
      </w:r>
      <w:r w:rsidR="002721A9" w:rsidRPr="002C4D2E">
        <w:t xml:space="preserve"> (323 osob, </w:t>
      </w:r>
      <w:r w:rsidR="004F38D6">
        <w:t xml:space="preserve">vstupní </w:t>
      </w:r>
      <w:r w:rsidR="002721A9" w:rsidRPr="002C4D2E">
        <w:t xml:space="preserve">testování 2026 a </w:t>
      </w:r>
      <w:r w:rsidR="004F38D6">
        <w:t xml:space="preserve">výstupní testování </w:t>
      </w:r>
      <w:r w:rsidR="002721A9" w:rsidRPr="002C4D2E">
        <w:t>2028). U každého jednotlivce proběhne testování 2x</w:t>
      </w:r>
      <w:r w:rsidR="00E1459D">
        <w:t>, a to</w:t>
      </w:r>
      <w:r w:rsidR="002721A9">
        <w:t xml:space="preserve"> </w:t>
      </w:r>
      <w:bookmarkStart w:id="0" w:name="_Hlk157518340"/>
      <w:r w:rsidR="002721A9" w:rsidRPr="002C4D2E">
        <w:t>na začátku</w:t>
      </w:r>
      <w:r w:rsidR="002721A9">
        <w:t xml:space="preserve"> projektu, kdy bude provedeno vstupní testování</w:t>
      </w:r>
      <w:r w:rsidR="002721A9" w:rsidRPr="002C4D2E">
        <w:t xml:space="preserve"> </w:t>
      </w:r>
      <w:r w:rsidR="002721A9">
        <w:t xml:space="preserve">včetně vyhotovení individuální zprávy </w:t>
      </w:r>
      <w:r w:rsidR="002721A9" w:rsidRPr="002C4D2E">
        <w:t>a na konci projektu</w:t>
      </w:r>
      <w:r w:rsidR="002721A9">
        <w:t>, kdy bude provedeno výstupní testování vč. individuální zprávy</w:t>
      </w:r>
      <w:r w:rsidR="002721A9" w:rsidRPr="002C4D2E">
        <w:t xml:space="preserve">, celkem tedy bude provedeno 2 192 testování, tj. 2 192 individuálních zpráv. </w:t>
      </w:r>
      <w:r w:rsidR="002721A9">
        <w:t>Objednatel</w:t>
      </w:r>
      <w:r w:rsidR="002721A9" w:rsidRPr="002C4D2E">
        <w:t xml:space="preserve"> </w:t>
      </w:r>
      <w:r w:rsidR="002721A9">
        <w:t xml:space="preserve">dále </w:t>
      </w:r>
      <w:proofErr w:type="gramStart"/>
      <w:r w:rsidR="002721A9" w:rsidRPr="002C4D2E">
        <w:t>obdrží</w:t>
      </w:r>
      <w:proofErr w:type="gramEnd"/>
      <w:r w:rsidR="002721A9" w:rsidRPr="002C4D2E">
        <w:t xml:space="preserve"> komplexní zprávu z testov</w:t>
      </w:r>
      <w:r w:rsidR="00FF06BE">
        <w:t>á</w:t>
      </w:r>
      <w:r w:rsidR="002721A9" w:rsidRPr="002C4D2E">
        <w:t>ní 6x</w:t>
      </w:r>
      <w:r w:rsidR="002721A9">
        <w:t xml:space="preserve">, vždy </w:t>
      </w:r>
      <w:r w:rsidR="002721A9" w:rsidRPr="002C4D2E">
        <w:t xml:space="preserve">na začátku a na konci projektu </w:t>
      </w:r>
      <w:r w:rsidR="002721A9">
        <w:t xml:space="preserve">u </w:t>
      </w:r>
      <w:r w:rsidR="002721A9" w:rsidRPr="002C4D2E">
        <w:t>každé cílové skupiny</w:t>
      </w:r>
      <w:bookmarkEnd w:id="0"/>
      <w:r w:rsidR="002721A9">
        <w:t xml:space="preserve">. </w:t>
      </w:r>
    </w:p>
    <w:p w14:paraId="7DBDB2F2" w14:textId="5540E95C" w:rsidR="002721A9" w:rsidRPr="002721A9" w:rsidRDefault="002721A9" w:rsidP="00C74DB7">
      <w:pPr>
        <w:pStyle w:val="Nadpis2"/>
      </w:pPr>
      <w:r w:rsidRPr="002C4D2E">
        <w:t xml:space="preserve">Počty zaměstnanců </w:t>
      </w:r>
      <w:r>
        <w:t>Objednatele</w:t>
      </w:r>
      <w:r w:rsidRPr="002C4D2E">
        <w:t xml:space="preserve"> uvedené </w:t>
      </w:r>
      <w:r>
        <w:t>v odst. 2.1 této Smlouvy v</w:t>
      </w:r>
      <w:r w:rsidRPr="002C4D2E">
        <w:t xml:space="preserve">ychází z aktuální stavu </w:t>
      </w:r>
      <w:r w:rsidRPr="002C4D2E">
        <w:lastRenderedPageBreak/>
        <w:t xml:space="preserve">zaměstnanců </w:t>
      </w:r>
      <w:r>
        <w:t xml:space="preserve">Objednatele </w:t>
      </w:r>
      <w:r w:rsidRPr="002C4D2E">
        <w:t>a stávající organizační struktu</w:t>
      </w:r>
      <w:r>
        <w:t>ry</w:t>
      </w:r>
      <w:r w:rsidRPr="002C4D2E">
        <w:t xml:space="preserve"> Zadavatele ke dni zahájení výběrového řízení. </w:t>
      </w:r>
      <w:r>
        <w:t>U</w:t>
      </w:r>
      <w:r w:rsidRPr="002C4D2E">
        <w:t xml:space="preserve">vedený počet testování a výstupů z těchto testování je tedy vztahován </w:t>
      </w:r>
      <w:r w:rsidRPr="002721A9">
        <w:t>k tomuto aktuálnímu počtu zaměstnanců Objednatele.</w:t>
      </w:r>
    </w:p>
    <w:p w14:paraId="31E5226B" w14:textId="0E014170" w:rsidR="004E1498" w:rsidRDefault="004E1498" w:rsidP="00C74DB7">
      <w:pPr>
        <w:pStyle w:val="Nadpis2"/>
        <w:rPr>
          <w:rFonts w:asciiTheme="majorHAnsi" w:hAnsiTheme="majorHAnsi"/>
        </w:rPr>
      </w:pPr>
      <w:r w:rsidRPr="002721A9">
        <w:t xml:space="preserve">Předmět </w:t>
      </w:r>
      <w:r w:rsidR="00E73DA0" w:rsidRPr="002721A9">
        <w:t>slu</w:t>
      </w:r>
      <w:r w:rsidR="00E73DA0" w:rsidRPr="00C74DB7">
        <w:t>žeb</w:t>
      </w:r>
      <w:r w:rsidRPr="00C74DB7">
        <w:t xml:space="preserve"> je blíže specifikován v</w:t>
      </w:r>
      <w:r w:rsidR="006062F9" w:rsidRPr="00C74DB7">
        <w:t> bližší specifikaci předmětu plnění</w:t>
      </w:r>
      <w:r w:rsidR="0086114C" w:rsidRPr="00C74DB7">
        <w:t>,</w:t>
      </w:r>
      <w:r w:rsidRPr="00C74DB7">
        <w:t xml:space="preserve"> která je přílohou </w:t>
      </w:r>
      <w:r w:rsidR="006F7CD7" w:rsidRPr="00C74DB7">
        <w:t xml:space="preserve">č. </w:t>
      </w:r>
      <w:r w:rsidR="002721A9" w:rsidRPr="00C74DB7">
        <w:t>2</w:t>
      </w:r>
      <w:r w:rsidR="006062F9" w:rsidRPr="00C74DB7">
        <w:t xml:space="preserve"> </w:t>
      </w:r>
      <w:r w:rsidRPr="00C74DB7">
        <w:t xml:space="preserve">této </w:t>
      </w:r>
      <w:r w:rsidR="00153EB0">
        <w:t>Smlou</w:t>
      </w:r>
      <w:r w:rsidRPr="00C74DB7">
        <w:t>vy</w:t>
      </w:r>
      <w:r w:rsidRPr="002721A9">
        <w:rPr>
          <w:rFonts w:asciiTheme="majorHAnsi" w:hAnsiTheme="majorHAnsi"/>
        </w:rPr>
        <w:t>.</w:t>
      </w:r>
    </w:p>
    <w:p w14:paraId="4B67FCFC" w14:textId="08E29E43" w:rsidR="002721A9" w:rsidRDefault="002721A9" w:rsidP="00C74DB7">
      <w:pPr>
        <w:pStyle w:val="Nadpis2"/>
      </w:pPr>
      <w:r>
        <w:t>Vyhrazená změna závazku</w:t>
      </w:r>
    </w:p>
    <w:p w14:paraId="10058DA9" w14:textId="3EFD19CB" w:rsidR="002721A9" w:rsidRPr="002721A9" w:rsidRDefault="002721A9" w:rsidP="00D34E33">
      <w:pPr>
        <w:ind w:left="567"/>
        <w:jc w:val="both"/>
      </w:pPr>
      <w:r>
        <w:t xml:space="preserve">Objednatel si vyhrazuje právo na změnu v počtu zaměstnanců, kteří budou zahrnuti do realizace Předmětu služeb, a to s ohledem na možné organizační změny či jiná racionalizační opatření Objednatele v rámci trvání </w:t>
      </w:r>
      <w:r w:rsidR="00153EB0">
        <w:t>Smlou</w:t>
      </w:r>
      <w:r>
        <w:t>vy. Změny mohou spočívat: (i) v celkovém počtu zaměstnanců Objednatele, kteří jsou uvedeni v čl. 2.1 této Smlouvy (1 096 zaměstnanců), kdy se může jednat o snížení i zvýšení tohoto počtu zaměstnanců Objednatele; (</w:t>
      </w:r>
      <w:proofErr w:type="spellStart"/>
      <w:r>
        <w:t>ii</w:t>
      </w:r>
      <w:proofErr w:type="spellEnd"/>
      <w:r>
        <w:t>) v počtu zaměstnanců Objednatele uvedených v jednotlivých skupinách (nižší, střední a top management), kdy se může jednat o snížení i zvýšení tohoto počtu zaměstnanců Objednatele; (</w:t>
      </w:r>
      <w:proofErr w:type="spellStart"/>
      <w:r>
        <w:t>iii</w:t>
      </w:r>
      <w:proofErr w:type="spellEnd"/>
      <w:r>
        <w:t xml:space="preserve">) nahrazení zaměstnance Objednatele v průběhu plnění </w:t>
      </w:r>
      <w:r w:rsidR="00CA285D">
        <w:t>p</w:t>
      </w:r>
      <w:r w:rsidR="00DB5936">
        <w:t>ředmětu služeb</w:t>
      </w:r>
      <w:r>
        <w:t xml:space="preserve"> (tj. situace, kdy daný zaměstnanec, u kterého byl </w:t>
      </w:r>
      <w:r w:rsidR="00CA285D">
        <w:t>p</w:t>
      </w:r>
      <w:r>
        <w:t xml:space="preserve">ředmět </w:t>
      </w:r>
      <w:r w:rsidR="00DB5936">
        <w:t>služeb</w:t>
      </w:r>
      <w:r>
        <w:t xml:space="preserve"> zakázky zahájen bude nahrazen jiným zaměstnancem). Tyto změny budou mít vliv na průběh plnění </w:t>
      </w:r>
      <w:r w:rsidR="00CA285D">
        <w:t>p</w:t>
      </w:r>
      <w:r w:rsidR="00DB5936">
        <w:t>ředmětu služeb</w:t>
      </w:r>
      <w:r>
        <w:t>, tedy na úpravy harmonogramu předmětu plnění a dále na počet provedených testování jednotlivců a vyhotovení individuálních zpráv z provedeného testování (přičemž bude záviset na typu konkrétní změny, kdy se tento počet testování může zvýšit či snížit).</w:t>
      </w:r>
      <w:r w:rsidR="00C1460A" w:rsidRPr="00C1460A">
        <w:t xml:space="preserve"> V případě, že bude realizována změna dle odrážky (</w:t>
      </w:r>
      <w:proofErr w:type="spellStart"/>
      <w:r w:rsidR="00C1460A" w:rsidRPr="00C1460A">
        <w:t>iii</w:t>
      </w:r>
      <w:proofErr w:type="spellEnd"/>
      <w:r w:rsidR="00C1460A" w:rsidRPr="00C1460A">
        <w:t>), nebude takový zaměstnanec testován individuálně, ale bude testován v rámci plánovaného testování další cílové skupiny, bez ohledu na to, zda do ní spadá či nikoliv.</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AC4055F" w14:textId="02230162" w:rsidR="00A76FAB" w:rsidRDefault="00A76FAB" w:rsidP="00765F9F">
      <w:pPr>
        <w:pStyle w:val="Nadpis2"/>
      </w:pPr>
      <w:r>
        <w:t>Cena za vstupní testování 1 zaměstnance</w:t>
      </w:r>
    </w:p>
    <w:p w14:paraId="777CA046" w14:textId="13F8B404" w:rsidR="006062F9" w:rsidRPr="006062F9" w:rsidRDefault="006062F9" w:rsidP="00765F9F">
      <w:pPr>
        <w:pStyle w:val="Nadpis3"/>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A76FAB">
        <w:rPr>
          <w:highlight w:val="green"/>
        </w:rPr>
        <w:t xml:space="preserve">[DOPLNÍ POSKYTOVATEL] </w:t>
      </w:r>
      <w:r w:rsidRPr="00A76FAB">
        <w:rPr>
          <w:rFonts w:asciiTheme="majorHAnsi" w:hAnsiTheme="majorHAnsi"/>
          <w:highlight w:val="green"/>
        </w:rPr>
        <w:t>Kč</w:t>
      </w:r>
    </w:p>
    <w:p w14:paraId="031D87AF" w14:textId="037AB50F" w:rsidR="006062F9" w:rsidRPr="00CA285D" w:rsidRDefault="006062F9" w:rsidP="00765F9F">
      <w:pPr>
        <w:pStyle w:val="Nadpis3"/>
        <w:rPr>
          <w:rFonts w:asciiTheme="majorHAnsi" w:hAnsiTheme="majorHAnsi" w:cs="Calibri"/>
        </w:rPr>
      </w:pPr>
      <w:r w:rsidRPr="00CA285D">
        <w:rPr>
          <w:rFonts w:asciiTheme="majorHAnsi" w:hAnsiTheme="majorHAnsi" w:cs="Calibri"/>
        </w:rPr>
        <w:t>Výše DPH</w:t>
      </w:r>
      <w:r w:rsidRPr="00CA285D">
        <w:rPr>
          <w:rFonts w:asciiTheme="majorHAnsi" w:hAnsiTheme="majorHAnsi" w:cs="Calibri"/>
        </w:rPr>
        <w:tab/>
      </w:r>
      <w:r w:rsidRPr="00CA285D">
        <w:rPr>
          <w:rFonts w:asciiTheme="majorHAnsi" w:hAnsiTheme="majorHAnsi" w:cs="Calibri"/>
        </w:rPr>
        <w:tab/>
      </w:r>
      <w:r w:rsidRPr="00CA285D">
        <w:rPr>
          <w:rFonts w:asciiTheme="majorHAnsi" w:hAnsiTheme="majorHAnsi" w:cs="Calibri"/>
        </w:rPr>
        <w:tab/>
      </w:r>
      <w:r w:rsidR="008B24C9" w:rsidRPr="00CA285D">
        <w:rPr>
          <w:rFonts w:asciiTheme="majorHAnsi" w:hAnsiTheme="majorHAnsi" w:cs="Calibri"/>
          <w:highlight w:val="green"/>
        </w:rPr>
        <w:t xml:space="preserve">[DOPLNÍ POSKYTOVATEL] </w:t>
      </w:r>
      <w:r w:rsidRPr="00CA285D">
        <w:rPr>
          <w:rFonts w:asciiTheme="majorHAnsi" w:hAnsiTheme="majorHAnsi" w:cs="Calibri"/>
          <w:highlight w:val="green"/>
        </w:rPr>
        <w:t>Kč</w:t>
      </w:r>
    </w:p>
    <w:p w14:paraId="1EEAE791" w14:textId="05B71389" w:rsidR="006062F9" w:rsidRPr="00D34E33" w:rsidRDefault="006062F9" w:rsidP="00765F9F">
      <w:pPr>
        <w:pStyle w:val="Nadpis3"/>
        <w:rPr>
          <w:rFonts w:asciiTheme="majorHAnsi" w:hAnsiTheme="majorHAnsi" w:cs="Calibri"/>
        </w:rPr>
      </w:pPr>
      <w:r w:rsidRPr="00CA285D">
        <w:rPr>
          <w:rFonts w:asciiTheme="majorHAnsi" w:hAnsiTheme="majorHAnsi" w:cs="Calibri"/>
        </w:rPr>
        <w:t>Cena s DPH</w:t>
      </w:r>
      <w:r w:rsidRPr="00CA285D">
        <w:rPr>
          <w:rFonts w:asciiTheme="majorHAnsi" w:hAnsiTheme="majorHAnsi"/>
        </w:rPr>
        <w:tab/>
      </w:r>
      <w:r w:rsidRPr="00CA285D">
        <w:rPr>
          <w:rFonts w:asciiTheme="majorHAnsi" w:hAnsiTheme="majorHAnsi"/>
        </w:rPr>
        <w:tab/>
      </w:r>
      <w:r w:rsidRPr="00CA285D">
        <w:rPr>
          <w:rFonts w:asciiTheme="majorHAnsi" w:hAnsiTheme="majorHAnsi"/>
        </w:rPr>
        <w:tab/>
      </w:r>
      <w:r w:rsidR="008B24C9" w:rsidRPr="00CA285D">
        <w:rPr>
          <w:highlight w:val="green"/>
        </w:rPr>
        <w:t xml:space="preserve">[DOPLNÍ POSKYTOVATEL] </w:t>
      </w:r>
      <w:r w:rsidRPr="00CA285D">
        <w:rPr>
          <w:rFonts w:asciiTheme="majorHAnsi" w:hAnsiTheme="majorHAnsi"/>
          <w:highlight w:val="green"/>
        </w:rPr>
        <w:t>Kč</w:t>
      </w:r>
    </w:p>
    <w:p w14:paraId="367C0A66" w14:textId="48F7375F" w:rsidR="00A76FAB" w:rsidRDefault="00A76FAB" w:rsidP="00765F9F">
      <w:pPr>
        <w:pStyle w:val="Nadpis2"/>
      </w:pPr>
      <w:r>
        <w:t>Cena za výstupní testování 1 zaměstnance</w:t>
      </w:r>
    </w:p>
    <w:p w14:paraId="4FA7B109" w14:textId="77777777" w:rsidR="00A76FAB" w:rsidRPr="006062F9" w:rsidRDefault="00A76FAB" w:rsidP="00765F9F">
      <w:pPr>
        <w:pStyle w:val="Nadpis3"/>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A76FAB">
        <w:rPr>
          <w:highlight w:val="green"/>
        </w:rPr>
        <w:t xml:space="preserve">[DOPLNÍ POSKYTOVATEL] </w:t>
      </w:r>
      <w:r w:rsidRPr="00A76FAB">
        <w:rPr>
          <w:rFonts w:asciiTheme="majorHAnsi" w:hAnsiTheme="majorHAnsi"/>
          <w:highlight w:val="green"/>
        </w:rPr>
        <w:t>Kč</w:t>
      </w:r>
    </w:p>
    <w:p w14:paraId="6F3F9922" w14:textId="77777777" w:rsidR="00A76FAB" w:rsidRPr="00CA285D" w:rsidRDefault="00A76FAB" w:rsidP="00765F9F">
      <w:pPr>
        <w:pStyle w:val="Nadpis3"/>
        <w:rPr>
          <w:rFonts w:asciiTheme="majorHAnsi" w:hAnsiTheme="majorHAnsi" w:cs="Calibri"/>
        </w:rPr>
      </w:pPr>
      <w:r w:rsidRPr="00CA285D">
        <w:rPr>
          <w:rFonts w:asciiTheme="majorHAnsi" w:hAnsiTheme="majorHAnsi" w:cs="Calibri"/>
        </w:rPr>
        <w:t>Výše DPH</w:t>
      </w:r>
      <w:r w:rsidRPr="00CA285D">
        <w:rPr>
          <w:rFonts w:asciiTheme="majorHAnsi" w:hAnsiTheme="majorHAnsi" w:cs="Calibri"/>
        </w:rPr>
        <w:tab/>
      </w:r>
      <w:r w:rsidRPr="00CA285D">
        <w:rPr>
          <w:rFonts w:asciiTheme="majorHAnsi" w:hAnsiTheme="majorHAnsi" w:cs="Calibri"/>
        </w:rPr>
        <w:tab/>
      </w:r>
      <w:r w:rsidRPr="00CA285D">
        <w:rPr>
          <w:rFonts w:asciiTheme="majorHAnsi" w:hAnsiTheme="majorHAnsi" w:cs="Calibri"/>
        </w:rPr>
        <w:tab/>
      </w:r>
      <w:r w:rsidRPr="00CA285D">
        <w:rPr>
          <w:rFonts w:asciiTheme="majorHAnsi" w:hAnsiTheme="majorHAnsi" w:cs="Calibri"/>
          <w:highlight w:val="green"/>
        </w:rPr>
        <w:t>[DOPLNÍ POSKYTOVATEL] Kč</w:t>
      </w:r>
    </w:p>
    <w:p w14:paraId="5B751A3A" w14:textId="3394CE99" w:rsidR="00A76FAB" w:rsidRPr="00765F9F" w:rsidRDefault="00A76FAB" w:rsidP="00765F9F">
      <w:pPr>
        <w:pStyle w:val="Nadpis3"/>
        <w:rPr>
          <w:rFonts w:asciiTheme="majorHAnsi" w:hAnsiTheme="majorHAnsi" w:cs="Calibri"/>
        </w:rPr>
      </w:pPr>
      <w:r w:rsidRPr="00CA285D">
        <w:rPr>
          <w:rFonts w:asciiTheme="majorHAnsi" w:hAnsiTheme="majorHAnsi" w:cs="Calibri"/>
        </w:rPr>
        <w:t>Cena s DPH</w:t>
      </w:r>
      <w:r w:rsidRPr="00CA285D">
        <w:rPr>
          <w:rFonts w:asciiTheme="majorHAnsi" w:hAnsiTheme="majorHAnsi"/>
        </w:rPr>
        <w:tab/>
      </w:r>
      <w:r w:rsidRPr="00CA285D">
        <w:rPr>
          <w:rFonts w:asciiTheme="majorHAnsi" w:hAnsiTheme="majorHAnsi"/>
        </w:rPr>
        <w:tab/>
      </w:r>
      <w:r w:rsidRPr="00CA285D">
        <w:rPr>
          <w:rFonts w:asciiTheme="majorHAnsi" w:hAnsiTheme="majorHAnsi"/>
        </w:rPr>
        <w:tab/>
      </w:r>
      <w:r w:rsidRPr="00CA285D">
        <w:rPr>
          <w:highlight w:val="green"/>
        </w:rPr>
        <w:t xml:space="preserve">[DOPLNÍ POSKYTOVATEL] </w:t>
      </w:r>
      <w:r w:rsidRPr="00CA285D">
        <w:rPr>
          <w:rFonts w:asciiTheme="majorHAnsi" w:hAnsiTheme="majorHAnsi"/>
          <w:highlight w:val="green"/>
        </w:rPr>
        <w:t>Kč</w:t>
      </w:r>
    </w:p>
    <w:p w14:paraId="7CD6B6BF" w14:textId="46EE1965" w:rsidR="006062F9" w:rsidRPr="00C1460A" w:rsidRDefault="00A76FAB" w:rsidP="00765F9F">
      <w:pPr>
        <w:pStyle w:val="Nadpis2"/>
      </w:pPr>
      <w:r w:rsidRPr="00C1460A">
        <w:t>Ceny uvedené v odst. 3.1. a 3.2. tohoto článku Smlouvy musí zahrnovat veškeré náklady Poskytovatele spojené s </w:t>
      </w:r>
      <w:r w:rsidR="00CA285D">
        <w:t>p</w:t>
      </w:r>
      <w:r w:rsidRPr="00C1460A">
        <w:t xml:space="preserve">ředmětem služeb, zejména organizační přípravu, realizaci, vyhodnocení a intepretaci dat v elektronické podobě, případná individuální telefonická nebo elektronická konzultace při interpretaci výsledků, zabezpečení nezbytné související administrativy, včetně oslovení účastníků a seznámení účastníků o způsobu testování, úvodní, průběžné a závěrečné konzultace s Objednatelem. Uvedené ceny jsou konečné a maximální možné přípustné za plnění </w:t>
      </w:r>
      <w:r w:rsidR="00CA285D">
        <w:t>p</w:t>
      </w:r>
      <w:r w:rsidRPr="00C1460A">
        <w:t>ředmětu služeb.</w:t>
      </w:r>
    </w:p>
    <w:p w14:paraId="23A2FF24" w14:textId="77777777" w:rsidR="006062F9" w:rsidRPr="00D34E33" w:rsidRDefault="006062F9" w:rsidP="00765F9F">
      <w:pPr>
        <w:pStyle w:val="Nadpis2"/>
        <w:rPr>
          <w:b/>
          <w:bCs/>
        </w:rPr>
      </w:pPr>
      <w:r w:rsidRPr="00D34E33">
        <w:rPr>
          <w:b/>
          <w:bCs/>
        </w:rPr>
        <w:t xml:space="preserve">Fakturace </w:t>
      </w:r>
    </w:p>
    <w:p w14:paraId="2D85D3E0" w14:textId="58405B16" w:rsidR="006062F9" w:rsidRPr="00C1460A" w:rsidRDefault="006062F9" w:rsidP="00765F9F">
      <w:pPr>
        <w:pStyle w:val="Nadpis3"/>
      </w:pPr>
      <w:r w:rsidRPr="00C1460A">
        <w:t xml:space="preserve">Fakturace za </w:t>
      </w:r>
      <w:r w:rsidR="00591D90" w:rsidRPr="00C1460A">
        <w:t xml:space="preserve">poskytnuté </w:t>
      </w:r>
      <w:r w:rsidR="004F38D6">
        <w:t>s</w:t>
      </w:r>
      <w:r w:rsidR="00591D90" w:rsidRPr="00C1460A">
        <w:t xml:space="preserve">lužby bude prováděna vždy </w:t>
      </w:r>
      <w:r w:rsidR="00C1460A" w:rsidRPr="00C1460A">
        <w:t>po ukončení testování celé skupiny</w:t>
      </w:r>
      <w:r w:rsidR="004F38D6">
        <w:t xml:space="preserve"> vč. vyhotovení a odeslání individuálních zpráv každému zaměstnanci dané skupiny</w:t>
      </w:r>
      <w:r w:rsidR="00C1460A" w:rsidRPr="00C1460A">
        <w:t xml:space="preserve"> (střední management, top management, nižší management)</w:t>
      </w:r>
      <w:r w:rsidR="00591D90" w:rsidRPr="00C1460A">
        <w:t xml:space="preserve">, v závislosti na skutečně provedených </w:t>
      </w:r>
      <w:r w:rsidR="00C1460A" w:rsidRPr="00C1460A">
        <w:t>s</w:t>
      </w:r>
      <w:r w:rsidR="00591D90" w:rsidRPr="00C1460A">
        <w:t>lužbách</w:t>
      </w:r>
      <w:r w:rsidR="007163E2" w:rsidRPr="00C1460A">
        <w:t xml:space="preserve"> (tj. uskutečněných a ukončených testování zaměstnanců</w:t>
      </w:r>
      <w:r w:rsidR="00C1460A" w:rsidRPr="00C1460A">
        <w:t xml:space="preserve"> dané skupiny</w:t>
      </w:r>
      <w:r w:rsidR="00B43A37">
        <w:t xml:space="preserve"> vč. předání individuální zprávy každému za zaměstnanců</w:t>
      </w:r>
      <w:r w:rsidR="007163E2" w:rsidRPr="00C1460A">
        <w:t xml:space="preserve">) </w:t>
      </w:r>
      <w:r w:rsidR="004F38D6">
        <w:t xml:space="preserve">uskutečněném </w:t>
      </w:r>
      <w:r w:rsidR="00591D90" w:rsidRPr="00C1460A">
        <w:t>v </w:t>
      </w:r>
      <w:r w:rsidR="00C1460A" w:rsidRPr="00C1460A">
        <w:t xml:space="preserve">období vyhrazeném pro testování </w:t>
      </w:r>
      <w:r w:rsidR="004F38D6">
        <w:t>dané skupiny dle</w:t>
      </w:r>
      <w:r w:rsidR="00C1460A" w:rsidRPr="00C1460A">
        <w:t xml:space="preserve"> harmonogramu</w:t>
      </w:r>
      <w:r w:rsidR="00591D90" w:rsidRPr="00C1460A">
        <w:t>,</w:t>
      </w:r>
      <w:r w:rsidR="004A2970">
        <w:t xml:space="preserve"> dle druhu testování (vstupní/výstupní),</w:t>
      </w:r>
      <w:r w:rsidRPr="00C1460A">
        <w:t xml:space="preserve"> na základě faktury vystavené Poskytovatelem</w:t>
      </w:r>
      <w:r w:rsidR="007163E2" w:rsidRPr="00C1460A">
        <w:t xml:space="preserve">. </w:t>
      </w:r>
    </w:p>
    <w:p w14:paraId="0529396F" w14:textId="4426D45F" w:rsidR="007163E2" w:rsidRPr="00C1460A" w:rsidRDefault="007163E2" w:rsidP="00765F9F">
      <w:pPr>
        <w:pStyle w:val="Nadpis3"/>
      </w:pPr>
      <w:r w:rsidRPr="00C1460A">
        <w:t>Faktura musí mít náležitosti daňového dokladu, její přílohou musí být</w:t>
      </w:r>
      <w:r w:rsidR="00C1460A" w:rsidRPr="00C1460A">
        <w:t xml:space="preserve"> čestné prohlášení o odeslání individuálních zpráv jednotlivým zaměstnancům v rámci fakturované skupiny. </w:t>
      </w:r>
    </w:p>
    <w:p w14:paraId="1AFBED57" w14:textId="77777777" w:rsidR="004E1498" w:rsidRPr="006062F9" w:rsidRDefault="004E1498" w:rsidP="00D34E33">
      <w:pPr>
        <w:pStyle w:val="Nadpis1"/>
        <w:keepNext/>
        <w:widowControl w:val="0"/>
        <w:suppressAutoHyphens w:val="0"/>
        <w:jc w:val="both"/>
        <w:rPr>
          <w:rFonts w:eastAsia="Times New Roman"/>
          <w:lang w:eastAsia="cs-CZ"/>
        </w:rPr>
      </w:pPr>
      <w:r w:rsidRPr="006062F9">
        <w:rPr>
          <w:rFonts w:eastAsia="Times New Roman"/>
          <w:lang w:eastAsia="cs-CZ"/>
        </w:rPr>
        <w:lastRenderedPageBreak/>
        <w:t>Místo a doba plnění</w:t>
      </w:r>
    </w:p>
    <w:p w14:paraId="4DCCF507" w14:textId="701328E6" w:rsidR="004E1498" w:rsidRPr="006062F9" w:rsidRDefault="004E1498" w:rsidP="00D34E33">
      <w:pPr>
        <w:pStyle w:val="Nadpis2"/>
        <w:keepNext/>
      </w:pPr>
      <w:r w:rsidRPr="0010396B">
        <w:t>Místem plnění je</w:t>
      </w:r>
      <w:r w:rsidR="006062F9" w:rsidRPr="0010396B">
        <w:t xml:space="preserve"> </w:t>
      </w:r>
      <w:r w:rsidR="0010396B" w:rsidRPr="0010396B">
        <w:t xml:space="preserve">Česká republika. </w:t>
      </w:r>
    </w:p>
    <w:p w14:paraId="4AE0DFE4" w14:textId="4C130CE1" w:rsidR="004E1498" w:rsidRDefault="00E73DA0" w:rsidP="00765F9F">
      <w:pPr>
        <w:pStyle w:val="Nadpis2"/>
        <w:keepNext/>
        <w:keepLines/>
      </w:pPr>
      <w:r w:rsidRPr="006062F9">
        <w:t>Poskytovatel je povinen provádět</w:t>
      </w:r>
      <w:r w:rsidR="004E1498" w:rsidRPr="006062F9">
        <w:t xml:space="preserve"> </w:t>
      </w:r>
      <w:r w:rsidR="00CA285D">
        <w:t>p</w:t>
      </w:r>
      <w:r w:rsidRPr="006062F9">
        <w:t>ředmět služeb</w:t>
      </w:r>
      <w:r w:rsidR="004E1498" w:rsidRPr="006062F9">
        <w:t xml:space="preserve"> </w:t>
      </w:r>
      <w:r w:rsidR="00CA285D" w:rsidRPr="0010396B">
        <w:t>od</w:t>
      </w:r>
      <w:r w:rsidR="00CA285D" w:rsidRPr="006062F9">
        <w:t xml:space="preserve"> účinnosti této Smlouvy</w:t>
      </w:r>
      <w:r w:rsidR="00CA285D" w:rsidRPr="0010396B">
        <w:t xml:space="preserve"> </w:t>
      </w:r>
      <w:r w:rsidR="004E1498" w:rsidRPr="0010396B">
        <w:t xml:space="preserve">nejpozději do </w:t>
      </w:r>
      <w:r w:rsidR="0010396B" w:rsidRPr="0010396B">
        <w:t>31. 12. 2028</w:t>
      </w:r>
      <w:r w:rsidR="006062F9" w:rsidRPr="006062F9">
        <w:t>.</w:t>
      </w:r>
    </w:p>
    <w:p w14:paraId="17525DE7" w14:textId="275A248C" w:rsidR="00F16BA0" w:rsidRDefault="00F16BA0" w:rsidP="00C74DB7">
      <w:pPr>
        <w:pStyle w:val="Nadpis2"/>
      </w:pPr>
      <w:r w:rsidRPr="00F16BA0">
        <w:t xml:space="preserve">Objednatel není oprávněn na základě této Smlouvy požadovat plnění Předmětu </w:t>
      </w:r>
      <w:r>
        <w:t>s</w:t>
      </w:r>
      <w:r w:rsidRPr="00F16BA0">
        <w:t xml:space="preserve">lužeb ve finanční hodnotě přesahující v součtu </w:t>
      </w:r>
      <w:proofErr w:type="gramStart"/>
      <w:r w:rsidR="00E50126">
        <w:t>4</w:t>
      </w:r>
      <w:r w:rsidRPr="00F16BA0">
        <w:t>.000.000,-</w:t>
      </w:r>
      <w:proofErr w:type="gramEnd"/>
      <w:r w:rsidRPr="00F16BA0">
        <w:t xml:space="preserve"> Kč bez DPH. V případě, že by plnění Předmětu služeb Poskytovatelem mělo vést k přesažení výše uvedené částky, Poskytovatel plnění neprovede a Objednatele na takovou skutečnost neprodleně upozorní</w:t>
      </w:r>
      <w:r>
        <w:t>.</w:t>
      </w:r>
    </w:p>
    <w:p w14:paraId="4AC0396E" w14:textId="55068F7A" w:rsidR="00F16BA0" w:rsidRDefault="00F16BA0" w:rsidP="00F16BA0">
      <w:pPr>
        <w:pStyle w:val="Nadpis1"/>
        <w:widowControl w:val="0"/>
        <w:suppressAutoHyphens w:val="0"/>
        <w:ind w:left="567" w:hanging="567"/>
        <w:jc w:val="both"/>
        <w:rPr>
          <w:lang w:eastAsia="cs-CZ"/>
        </w:rPr>
      </w:pPr>
      <w:r>
        <w:rPr>
          <w:lang w:eastAsia="cs-CZ"/>
        </w:rPr>
        <w:t>Průběh plnění</w:t>
      </w:r>
    </w:p>
    <w:p w14:paraId="0F52146E" w14:textId="1ECE4641" w:rsidR="009B5EA4" w:rsidRPr="009B5EA4" w:rsidRDefault="009B5EA4" w:rsidP="009B5EA4">
      <w:pPr>
        <w:pStyle w:val="Nadpis2"/>
      </w:pPr>
      <w:r>
        <w:t xml:space="preserve">Poskytovatel je povinen před zahájením plnění dle této Smlouvy předložit Objednateli návrh způsobu realizace předmětu plnění (krátké představení </w:t>
      </w:r>
      <w:r w:rsidR="003714E4">
        <w:t>Poskytovatele</w:t>
      </w:r>
      <w:r>
        <w:t xml:space="preserve">, popis jeho testovacích metod apod. v maximálním rozsahu 2 A4). </w:t>
      </w:r>
    </w:p>
    <w:p w14:paraId="7A3F4900" w14:textId="618F58BC" w:rsidR="006478B3" w:rsidRPr="006478B3" w:rsidRDefault="00277A7C" w:rsidP="00C74DB7">
      <w:pPr>
        <w:pStyle w:val="Nadpis2"/>
      </w:pPr>
      <w:r>
        <w:t xml:space="preserve">Po nabytí účinnosti této Smlouvy svolá Poskytovatel bezodkladně úvodní jednání s Objednatelem, za účelem </w:t>
      </w:r>
      <w:r w:rsidR="00FC6286">
        <w:t xml:space="preserve">přípravy harmonogramu předmětu plnění. Harmonogram předmětu plnění bude obsahovat zejména termíny pro testování jednotlivých zaměstnanců, termíny pro zaslání individuálních zpráv jakožto výstupů z provedených testování, termíny pro zaslání komplexních zpráv z testování. </w:t>
      </w:r>
      <w:r w:rsidR="00C1460A">
        <w:t xml:space="preserve">Doba, ve které bude testování každé ze skupin prováděno, budou maximálně dva po sobě jdoucí měsíce. </w:t>
      </w:r>
      <w:r w:rsidR="00FC6286">
        <w:t>Veškeré termíny sjednané v tomto harmonogramu se stávají závaznými.</w:t>
      </w:r>
      <w:r w:rsidR="006478B3">
        <w:t xml:space="preserve"> </w:t>
      </w:r>
      <w:r w:rsidR="006478B3" w:rsidRPr="006478B3">
        <w:t>Poskytovatel je povinen předložit Objednateli harmonogram nejpozději do 1 týdne od skončení úvodního jednání k</w:t>
      </w:r>
      <w:r w:rsidR="006478B3">
        <w:t> </w:t>
      </w:r>
      <w:r w:rsidR="006478B3" w:rsidRPr="006478B3">
        <w:t>připomínkám</w:t>
      </w:r>
      <w:r w:rsidR="006478B3">
        <w:t xml:space="preserve">, v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0D0B5A73" w14:textId="24516980" w:rsidR="00FE28B2" w:rsidRPr="00FE28B2" w:rsidRDefault="00FE28B2" w:rsidP="0059386F">
      <w:pPr>
        <w:pStyle w:val="Nadpis2"/>
      </w:pPr>
      <w:r w:rsidRPr="00FE28B2">
        <w:t xml:space="preserve">Zhotovitel je při přípravě harmonogramu povinen dodržet závazný termín stanovený Objednatelem v čl. 4.2 této Smlouvy a musí v něm být zahrnuty veškeré požadavky Objednatele uvedené v této Smlouvě, tyto podmínky vč. závazného termínu nemohou být ze strany </w:t>
      </w:r>
      <w:r>
        <w:t>Poskytovatele</w:t>
      </w:r>
      <w:r w:rsidRPr="00FE28B2">
        <w:t xml:space="preserve"> měněny. Termíny stanovené </w:t>
      </w:r>
      <w:r>
        <w:t>Poskytovatelem</w:t>
      </w:r>
      <w:r w:rsidRPr="00FE28B2">
        <w:t xml:space="preserve"> (vyjma předchozí věty) mohou být ze strany </w:t>
      </w:r>
      <w:r>
        <w:t>Poskytovatele i Objednatele</w:t>
      </w:r>
      <w:r w:rsidRPr="00FE28B2">
        <w:t xml:space="preserve"> měněny v závislosti na aktuálních skutečnostech, </w:t>
      </w:r>
      <w:r>
        <w:t>Poskytovatel či Objednatel</w:t>
      </w:r>
      <w:r w:rsidRPr="00FE28B2">
        <w:t xml:space="preserve"> je v takovém případě povinen informovat </w:t>
      </w:r>
      <w:r>
        <w:t xml:space="preserve">Poskytovatele či </w:t>
      </w:r>
      <w:r w:rsidRPr="00FE28B2">
        <w:t xml:space="preserve">Objednatele o takových změnách bezodkladně, v okamžiku, kdy se o této skutečnosti sám dozvěděl. </w:t>
      </w:r>
      <w:r w:rsidR="004A5160">
        <w:t xml:space="preserve">Postup pro přijetí nového závazného harmonogramu je obdobný postupu popsanému výše. </w:t>
      </w:r>
    </w:p>
    <w:p w14:paraId="3019CF85" w14:textId="14F9D07F" w:rsidR="009333C7" w:rsidRDefault="002B57E1" w:rsidP="00C74DB7">
      <w:pPr>
        <w:pStyle w:val="Nadpis2"/>
      </w:pPr>
      <w:r>
        <w:t xml:space="preserve">V průběhu plnění této Smlouvy je </w:t>
      </w:r>
      <w:r w:rsidR="006478B3">
        <w:t xml:space="preserve">Poskytovatel i Objednatel oprávněn svolávat průběžné schůzky za účelem </w:t>
      </w:r>
      <w:r w:rsidR="004A5160">
        <w:t xml:space="preserve">kontroly průběhu plnění, konzultací ohledně provedeného plnění, aktuálnosti harmonogramu. Četnost schůzek si stanoví </w:t>
      </w:r>
      <w:r w:rsidR="009F39D8">
        <w:t>S</w:t>
      </w:r>
      <w:r w:rsidR="004A5160">
        <w:t xml:space="preserve">mluvní strany, </w:t>
      </w:r>
      <w:r w:rsidR="00CA285D">
        <w:t>minimálně budou konány jednou za půl roku.</w:t>
      </w:r>
      <w:r w:rsidR="004A5160">
        <w:t xml:space="preserve"> </w:t>
      </w:r>
    </w:p>
    <w:p w14:paraId="77BB29D6" w14:textId="0D74C2CE" w:rsidR="00F16BA0" w:rsidRDefault="009333C7" w:rsidP="00C74DB7">
      <w:pPr>
        <w:pStyle w:val="Nadpis2"/>
      </w:pPr>
      <w:r>
        <w:t>Poskytovatel bude v průběhu plnění Smlouvy rovněž poskytovat konzultace k jednotlivým individuální</w:t>
      </w:r>
      <w:r w:rsidR="009F39D8">
        <w:t>m</w:t>
      </w:r>
      <w:r>
        <w:t xml:space="preserve"> zprávám</w:t>
      </w:r>
      <w:r w:rsidR="009F39D8">
        <w:t xml:space="preserve"> vypracovaným na základě</w:t>
      </w:r>
      <w:r>
        <w:t> výsledku testování</w:t>
      </w:r>
      <w:r w:rsidR="009F39D8">
        <w:t>, a to vždy na základě požadavku konkrétního zaměstnance</w:t>
      </w:r>
      <w:r>
        <w:t xml:space="preserve"> Objednatele. </w:t>
      </w:r>
    </w:p>
    <w:p w14:paraId="273E6F40" w14:textId="2D93ECAE" w:rsidR="004A5160" w:rsidRDefault="00C56BF3" w:rsidP="00C74DB7">
      <w:pPr>
        <w:pStyle w:val="Nadpis2"/>
      </w:pPr>
      <w:r>
        <w:t>Poskytovatel nejpozději do 1 měsíce před skončením platnosti a účinnosti této Smlouvy</w:t>
      </w:r>
      <w:r w:rsidR="00A7415E">
        <w:t xml:space="preserve"> dle</w:t>
      </w:r>
      <w:r>
        <w:t xml:space="preserve"> odst. 4.2 této Smlouvy svolá závěrečné jednání s Objednatelem, za účelem </w:t>
      </w:r>
      <w:r w:rsidR="004620D4">
        <w:t xml:space="preserve">předání závěrečné zprávy s porovnáním všech testovaných skupin </w:t>
      </w:r>
      <w:r w:rsidR="00454A93">
        <w:t xml:space="preserve">s doporučením pro další rozvoj manažerských pozic. </w:t>
      </w:r>
    </w:p>
    <w:p w14:paraId="700C0934" w14:textId="4083C50C"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r w:rsidR="00591D90">
        <w:rPr>
          <w:rFonts w:eastAsia="Times New Roman"/>
          <w:lang w:eastAsia="cs-CZ"/>
        </w:rPr>
        <w:t xml:space="preserve"> a realizační tým</w:t>
      </w:r>
    </w:p>
    <w:p w14:paraId="20ADF6B0" w14:textId="386C3763" w:rsidR="00A93EB7" w:rsidRDefault="00A93EB7" w:rsidP="00C74DB7">
      <w:pPr>
        <w:pStyle w:val="Nadpis2"/>
      </w:pPr>
      <w:r w:rsidRPr="00374D29">
        <w:t xml:space="preserve">Na provedení předmětu služeb se budou podílet poddodavatelé uvedení v příloze č. </w:t>
      </w:r>
      <w:r>
        <w:t>3</w:t>
      </w:r>
      <w:r w:rsidRPr="00374D29">
        <w:t xml:space="preserve"> této</w:t>
      </w:r>
      <w:r>
        <w:t xml:space="preserve"> S</w:t>
      </w:r>
      <w:r w:rsidRPr="004E1498">
        <w:t xml:space="preserve">mlouvy. </w:t>
      </w:r>
    </w:p>
    <w:p w14:paraId="4CDD7C6D" w14:textId="77777777" w:rsidR="00A93EB7" w:rsidRPr="0046240A" w:rsidRDefault="00A93EB7" w:rsidP="00A93EB7">
      <w:pPr>
        <w:pStyle w:val="Nadpis3"/>
        <w:spacing w:line="240" w:lineRule="auto"/>
        <w:ind w:left="1418" w:hanging="851"/>
        <w:jc w:val="left"/>
      </w:pPr>
      <w:r>
        <w:t>Poskytovatel</w:t>
      </w:r>
      <w:r w:rsidRPr="00F60A1A">
        <w:t xml:space="preserve"> může v průběhu plnění nahradit stávajícího poddodavatele nebo přizvat k plnění </w:t>
      </w:r>
      <w:r>
        <w:t>Služeb</w:t>
      </w:r>
      <w:r w:rsidRPr="00F60A1A">
        <w:t xml:space="preserve"> nového poddodavatele, a to pouze po předchozím souhlasu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w:t>
      </w:r>
      <w:r w:rsidRPr="00F60A1A">
        <w:lastRenderedPageBreak/>
        <w:t xml:space="preserve">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Změna osoby poddodavatele a přizvání nové osoby poddodavatele nepodléhá povinnosti uzavřít dodatek ke Smlouvě a proběhne pouze na základě písemného souhlasu Objednatele s touto změnou. Objednatel je oprávněn souhlas neudělit.</w:t>
      </w:r>
      <w:r>
        <w:t xml:space="preserve"> </w:t>
      </w:r>
    </w:p>
    <w:p w14:paraId="67FB4E2B" w14:textId="471A7CCC" w:rsidR="00A93EB7" w:rsidRPr="00F20F63" w:rsidRDefault="00A93EB7" w:rsidP="00C74DB7">
      <w:pPr>
        <w:pStyle w:val="Nadpis2"/>
      </w:pPr>
      <w:r w:rsidRPr="00F20F63">
        <w:t xml:space="preserve">Na provádění plnění dle této Smlouvy se budou podílet členové realizačního týmu uvedení v příloze č. </w:t>
      </w:r>
      <w:r>
        <w:t>4</w:t>
      </w:r>
      <w:r w:rsidRPr="00F20F63">
        <w:t xml:space="preserve"> této Smlouvy. </w:t>
      </w:r>
    </w:p>
    <w:p w14:paraId="2EF2A907" w14:textId="6FF89E9B" w:rsidR="00A93EB7" w:rsidRDefault="00A93EB7" w:rsidP="00A93EB7">
      <w:pPr>
        <w:pStyle w:val="Nadpis3"/>
        <w:spacing w:line="240" w:lineRule="auto"/>
      </w:pPr>
      <w:r>
        <w:t xml:space="preserve">Poskytovatel může v průběhu plnění této Smlouvy nahradit některou osobu/některé osoby z osob, uvedených v seznamu realizačního týmu dle přílohy č. </w:t>
      </w:r>
      <w:r w:rsidR="00770B01">
        <w:t>4</w:t>
      </w:r>
      <w:r>
        <w:t xml:space="preserve"> této Smlouvy, a to pouze po předchozím souhlasu Objednatele, na základě písemné žádosti Poskytovatele. V případě, </w:t>
      </w:r>
      <w:r w:rsidRPr="00F20F63">
        <w:t xml:space="preserve">že </w:t>
      </w:r>
      <w:r>
        <w:t>Poskytovatel</w:t>
      </w:r>
      <w:r w:rsidRPr="00F20F63">
        <w:t xml:space="preserve"> požádá o změnu některých členů/některého člena realizačního týmu uvedeného v příloze č. </w:t>
      </w:r>
      <w:r w:rsidR="00770B01">
        <w:t>4</w:t>
      </w:r>
      <w:r w:rsidRPr="00F20F63">
        <w:t xml:space="preserve"> této Smlouvy,</w:t>
      </w:r>
      <w:r>
        <w:t xml:space="preserve"> musí tato osoba/tyto osoby splňovat kvalifikaci požadovanou ve výběrovém řízení. </w:t>
      </w:r>
      <w:r w:rsidR="004F6CCD">
        <w:t xml:space="preserve">Pakliže by měla být změněna osoba, která ve výběrovém řízení byla osobou hodnocenou, je Poskytovatel povinen nahradit tuto osobu osobou s minimálně stejným počtem let praxe jako měla osoba nahrazovaná, kdy splnění těchto kritérií bude posuzováno ke dni doručení písemné žádosti. </w:t>
      </w:r>
      <w:r>
        <w:t>Poskytovatel je povinen k žádosti o změnu osoby/osob předložit veškeré doklady a dokumenty vztahující se k takové osobě/osobám dle požadavků výzvy k podání nabídky ve výběrovém řízení. Změna osoby/osob nepodléhá povinnosti uzavřít dodatek ke Smlouvě a proběhne pouze na základě písemného souhlasu Objednatele s touto změnou. Objednatel je oprávněn souhlas neudělit.</w:t>
      </w:r>
    </w:p>
    <w:p w14:paraId="0E052144" w14:textId="74144160" w:rsidR="00B66E16" w:rsidRPr="00770B01" w:rsidRDefault="00A93EB7" w:rsidP="00C74DB7">
      <w:pPr>
        <w:pStyle w:val="Nadpis2"/>
      </w:pPr>
      <w:r>
        <w:t xml:space="preserve">V případě, že Poskytovatel </w:t>
      </w:r>
      <w:proofErr w:type="gramStart"/>
      <w:r>
        <w:t>poruší</w:t>
      </w:r>
      <w:proofErr w:type="gramEnd"/>
      <w:r>
        <w:t xml:space="preserve"> jakoukoliv svou povinnost uvedenou v ustanovení </w:t>
      </w:r>
      <w:r w:rsidR="008F5514">
        <w:t>6</w:t>
      </w:r>
      <w:r>
        <w:t xml:space="preserve">.1.1 nebo </w:t>
      </w:r>
      <w:r w:rsidR="008F5514">
        <w:t>6</w:t>
      </w:r>
      <w:r>
        <w:t>.2.1</w:t>
      </w:r>
      <w:r w:rsidRPr="00AB1D93">
        <w:t xml:space="preserve"> </w:t>
      </w:r>
      <w:r>
        <w:t xml:space="preserve">této </w:t>
      </w:r>
      <w:r w:rsidRPr="00AB1D93">
        <w:t>Smlouvy</w:t>
      </w:r>
      <w:r>
        <w:t xml:space="preserve">, je Objednatel oprávněn vyúčtovat Poskytovateli smluvní pokutu </w:t>
      </w:r>
      <w:r w:rsidRPr="00AB1D93">
        <w:t xml:space="preserve">ve výši </w:t>
      </w:r>
      <w:r>
        <w:t>10</w:t>
      </w:r>
      <w:r w:rsidRPr="00AB1D93">
        <w:t>.000 Kč za každé jednotlivé porušení povinnosti</w:t>
      </w:r>
      <w:r>
        <w:t>.</w:t>
      </w:r>
    </w:p>
    <w:p w14:paraId="7346861D" w14:textId="63879823" w:rsidR="002137C4" w:rsidRDefault="002137C4" w:rsidP="00321172">
      <w:pPr>
        <w:pStyle w:val="Nadpis1"/>
        <w:widowControl w:val="0"/>
        <w:suppressAutoHyphens w:val="0"/>
        <w:jc w:val="both"/>
        <w:rPr>
          <w:rFonts w:eastAsia="Times New Roman"/>
          <w:lang w:eastAsia="cs-CZ"/>
        </w:rPr>
      </w:pPr>
      <w:r>
        <w:rPr>
          <w:rFonts w:eastAsia="Times New Roman"/>
          <w:lang w:eastAsia="cs-CZ"/>
        </w:rPr>
        <w:t>Sankce</w:t>
      </w:r>
    </w:p>
    <w:p w14:paraId="63E46395" w14:textId="42101C6D" w:rsidR="004F38D6" w:rsidRDefault="004F38D6" w:rsidP="00C74DB7">
      <w:pPr>
        <w:pStyle w:val="Nadpis2"/>
      </w:pPr>
      <w:r>
        <w:t xml:space="preserve">V případě, že Poskytovatel neprovede testování zaměstnanců Objednatele, a to buď jednotlivců nebo celé skupiny, v souladu s termíny uvedenými v harmonogramu (případně, bude-li v harmonogramu uveden pouze nejzazší termín, pak do tohoto termínu), z důvodů na straně Poskytovatele, je Objednatel oprávněn </w:t>
      </w:r>
      <w:r w:rsidR="00857AFF">
        <w:t xml:space="preserve">vyúčtovat </w:t>
      </w:r>
      <w:r w:rsidR="00B87FE5">
        <w:t xml:space="preserve">Poskytovateli smluvní pokutu ve výši 10.000,- Kč za každý i započatý den s prodlením v testování u každého ze zaměstnanců, tj. za každý jednotlivý případ, a to až do provedení testování u takové osoby. </w:t>
      </w:r>
    </w:p>
    <w:p w14:paraId="59E1D483" w14:textId="49232063" w:rsidR="00B87FE5" w:rsidRPr="00B87FE5" w:rsidRDefault="00B87FE5" w:rsidP="00C74DB7">
      <w:pPr>
        <w:pStyle w:val="Nadpis2"/>
      </w:pPr>
      <w:r>
        <w:t xml:space="preserve">V případě, že Poskytoval nevyhotoví a </w:t>
      </w:r>
      <w:r w:rsidR="00A7415E">
        <w:t>(</w:t>
      </w:r>
      <w:r>
        <w:t>nebo</w:t>
      </w:r>
      <w:r w:rsidR="00A7415E">
        <w:t>)</w:t>
      </w:r>
      <w:r>
        <w:t xml:space="preserve"> nezašle každému z testovaných zaměstnanců individuální zprávu z testování a komplexní zprávu z testování v termínech uvedených v bližší specifikaci, která je přílohou č. 2 této </w:t>
      </w:r>
      <w:r w:rsidR="00153EB0">
        <w:t>Smlou</w:t>
      </w:r>
      <w:r>
        <w:t xml:space="preserve">vy (případně, pokud si </w:t>
      </w:r>
      <w:r w:rsidR="00A7415E">
        <w:t>S</w:t>
      </w:r>
      <w:r>
        <w:t>mluvní strany dohodnou konkrétní termíny přímo v harmonogramu, pak do těchto termínů) je Objednatel oprávněn vyúčtovat Poskytovateli smluvní pokutu ve výši 1.000</w:t>
      </w:r>
      <w:r w:rsidR="00A7415E">
        <w:t>,- </w:t>
      </w:r>
      <w:r>
        <w:t>Kč, za každý i započatý den prodlení a jednotlivý případ, až do splnění této povinnosti.</w:t>
      </w:r>
    </w:p>
    <w:p w14:paraId="21F816C5" w14:textId="0A943875"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32838856" w:rsidR="004E1498" w:rsidRPr="006062F9" w:rsidRDefault="00E73DA0" w:rsidP="00C74DB7">
      <w:pPr>
        <w:pStyle w:val="Nadpis2"/>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3A54B8">
        <w:t xml:space="preserve"> Poskytovatel prohlašuje, že zaručuje </w:t>
      </w:r>
      <w:r w:rsidR="003A54B8" w:rsidRPr="003A54B8">
        <w:t>objektivit</w:t>
      </w:r>
      <w:r w:rsidR="003A54B8">
        <w:t>u</w:t>
      </w:r>
      <w:r w:rsidR="003A54B8" w:rsidRPr="003A54B8">
        <w:t xml:space="preserve"> a komplexnost posuzování včetně garance kvality a profesionálního zajištění </w:t>
      </w:r>
      <w:r w:rsidR="003A54B8">
        <w:t>předmětu služeb.</w:t>
      </w:r>
    </w:p>
    <w:p w14:paraId="7EDF1044" w14:textId="77777777" w:rsidR="004E1498" w:rsidRPr="008B24C9" w:rsidRDefault="004E1498" w:rsidP="00C74DB7">
      <w:pPr>
        <w:pStyle w:val="Nadpis2"/>
      </w:pPr>
      <w:r w:rsidRPr="008B24C9">
        <w:t>Kontaktními osobami smluvních stran jsou</w:t>
      </w:r>
    </w:p>
    <w:p w14:paraId="4E7FEA6D" w14:textId="776D44A0" w:rsidR="004E1498" w:rsidRPr="00321172" w:rsidRDefault="004E1498" w:rsidP="00321172">
      <w:pPr>
        <w:pStyle w:val="Nadpis3"/>
        <w:widowControl w:val="0"/>
      </w:pPr>
      <w:r w:rsidRPr="00321172">
        <w:t>za Objednatele p. ………………</w:t>
      </w:r>
      <w:r w:rsidR="0086114C" w:rsidRPr="00321172">
        <w:t>……,</w:t>
      </w:r>
      <w:r w:rsidRPr="00321172">
        <w:t xml:space="preserve"> tel. ……………</w:t>
      </w:r>
      <w:r w:rsidR="0086114C" w:rsidRPr="00321172">
        <w:t>……,</w:t>
      </w:r>
      <w:r w:rsidRPr="00321172">
        <w:t xml:space="preserve"> email ………………</w:t>
      </w:r>
      <w:r w:rsidR="0086114C" w:rsidRPr="00321172">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49AFC67F" w:rsidR="004E1498" w:rsidRPr="006062F9" w:rsidRDefault="004E1498" w:rsidP="00C74DB7">
      <w:pPr>
        <w:pStyle w:val="Nadpis2"/>
      </w:pPr>
      <w:r w:rsidRPr="006062F9">
        <w:t xml:space="preserve"> </w:t>
      </w:r>
      <w:r w:rsidRPr="006062F9">
        <w:rPr>
          <w:rFonts w:eastAsia="Calibri"/>
        </w:rPr>
        <w:t xml:space="preserve">Smluvní strany berou na vědomí, že tato </w:t>
      </w:r>
      <w:r w:rsidR="00153EB0">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D34E33">
        <w:rPr>
          <w:rFonts w:eastAsia="Calibri"/>
          <w:b/>
          <w:bCs/>
        </w:rPr>
        <w:t>ZRS</w:t>
      </w:r>
      <w:r w:rsidRPr="006062F9">
        <w:rPr>
          <w:rFonts w:eastAsia="Calibri"/>
        </w:rPr>
        <w:t xml:space="preserve">“), a současně souhlasí se zveřejněním údajů o identifikaci smluvních stran, předmětu </w:t>
      </w:r>
      <w:r w:rsidR="00153EB0">
        <w:rPr>
          <w:rFonts w:eastAsia="Calibri"/>
        </w:rPr>
        <w:t>Smlou</w:t>
      </w:r>
      <w:r w:rsidRPr="006062F9">
        <w:rPr>
          <w:rFonts w:eastAsia="Calibri"/>
        </w:rPr>
        <w:t xml:space="preserve">vy, jeho ceně či hodnotě a datu uzavření této </w:t>
      </w:r>
      <w:r w:rsidR="00153EB0">
        <w:rPr>
          <w:rFonts w:eastAsia="Calibri"/>
        </w:rPr>
        <w:t>Smlou</w:t>
      </w:r>
      <w:r w:rsidRPr="006062F9">
        <w:rPr>
          <w:rFonts w:eastAsia="Calibri"/>
        </w:rPr>
        <w:t>vy.</w:t>
      </w:r>
    </w:p>
    <w:p w14:paraId="0F72ED32" w14:textId="4B5B11C9" w:rsidR="004E1498" w:rsidRPr="006062F9" w:rsidRDefault="004E1498" w:rsidP="00C74DB7">
      <w:pPr>
        <w:pStyle w:val="Nadpis2"/>
      </w:pPr>
      <w:r w:rsidRPr="006062F9">
        <w:rPr>
          <w:rStyle w:val="Nadpis2Char"/>
          <w:rFonts w:eastAsia="Calibri"/>
        </w:rPr>
        <w:t xml:space="preserve">Zaslání </w:t>
      </w:r>
      <w:r w:rsidR="00153EB0">
        <w:rPr>
          <w:rFonts w:eastAsia="Calibri"/>
        </w:rPr>
        <w:t>Smlou</w:t>
      </w:r>
      <w:r w:rsidRPr="006062F9">
        <w:rPr>
          <w:rFonts w:eastAsia="Calibri"/>
        </w:rPr>
        <w:t xml:space="preserve">vy správci registru smluv k uveřejnění v registru smluv zajišťuje obvykle Objednatel. Nebude-li tato </w:t>
      </w:r>
      <w:r w:rsidR="00153EB0">
        <w:rPr>
          <w:rFonts w:eastAsia="Calibri"/>
        </w:rPr>
        <w:t>Smlou</w:t>
      </w:r>
      <w:r w:rsidRPr="006062F9">
        <w:rPr>
          <w:rFonts w:eastAsia="Calibri"/>
        </w:rPr>
        <w:t xml:space="preserve">va zaslána k uveřejnění a/nebo uveřejněna prostřednictvím registru smluv, není žádná ze smluvních stran oprávněna požadovat po </w:t>
      </w:r>
      <w:r w:rsidRPr="006062F9">
        <w:rPr>
          <w:rFonts w:eastAsia="Calibri"/>
        </w:rPr>
        <w:lastRenderedPageBreak/>
        <w:t>druhé smluvní straně náhradu škody ani jiné újmy, která by jí v této souvislosti vznikla nebo vzniknout mohla.</w:t>
      </w:r>
    </w:p>
    <w:p w14:paraId="470251AF" w14:textId="354010AE" w:rsidR="004E1498" w:rsidRPr="006062F9" w:rsidRDefault="004E1498" w:rsidP="00C74DB7">
      <w:pPr>
        <w:pStyle w:val="Nadpis2"/>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153EB0">
        <w:rPr>
          <w:rFonts w:eastAsia="Calibri"/>
        </w:rPr>
        <w:t>S</w:t>
      </w:r>
      <w:r w:rsidRPr="006062F9">
        <w:rPr>
          <w:rFonts w:eastAsia="Calibri"/>
        </w:rPr>
        <w:t xml:space="preserve">mlouvě, vyjma částí označených ve smyslu následujícího odstavce této </w:t>
      </w:r>
      <w:r w:rsidR="00153EB0">
        <w:rPr>
          <w:rFonts w:eastAsia="Calibri"/>
        </w:rPr>
        <w:t>Smlou</w:t>
      </w:r>
      <w:r w:rsidRPr="006062F9">
        <w:rPr>
          <w:rFonts w:eastAsia="Calibri"/>
        </w:rPr>
        <w:t>vy, nepovažují za obchodní tajemství ve smyslu ustanovení § 504 Občanského zákoníku (dále jen „</w:t>
      </w:r>
      <w:r w:rsidRPr="00D34E33">
        <w:rPr>
          <w:rFonts w:eastAsia="Calibri"/>
          <w:b/>
          <w:bCs/>
        </w:rPr>
        <w:t>obchodní tajemství</w:t>
      </w:r>
      <w:r w:rsidRPr="006062F9">
        <w:rPr>
          <w:rFonts w:eastAsia="Calibri"/>
        </w:rPr>
        <w:t>“), a že se nejedná ani o informace, které nemohou být v registru smluv uveřejněny na základě ustanovení § 3 odst. 1 ZRS.</w:t>
      </w:r>
    </w:p>
    <w:p w14:paraId="3F047B18" w14:textId="58CB2C65" w:rsidR="004E1498" w:rsidRPr="006062F9" w:rsidRDefault="004E1498" w:rsidP="00C74DB7">
      <w:pPr>
        <w:pStyle w:val="Nadpis2"/>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w:t>
      </w:r>
      <w:r w:rsidR="00153EB0">
        <w:rPr>
          <w:rFonts w:eastAsia="Calibri"/>
        </w:rPr>
        <w:t>Smlou</w:t>
      </w:r>
      <w:r w:rsidRPr="006062F9">
        <w:rPr>
          <w:rFonts w:eastAsia="Calibri"/>
        </w:rPr>
        <w:t xml:space="preserve">vy, která v důsledku toho bude pro účely uveřejnění </w:t>
      </w:r>
      <w:r w:rsidR="00153EB0">
        <w:rPr>
          <w:rFonts w:eastAsia="Calibri"/>
        </w:rPr>
        <w:t>Smlou</w:t>
      </w:r>
      <w:r w:rsidRPr="006062F9">
        <w:rPr>
          <w:rFonts w:eastAsia="Calibri"/>
        </w:rPr>
        <w:t xml:space="preserve">vy v registru smluv znečitelněna, nese tato smluvní strana odpovědnost, pokud by </w:t>
      </w:r>
      <w:r w:rsidR="00153EB0">
        <w:rPr>
          <w:rFonts w:eastAsia="Calibri"/>
        </w:rPr>
        <w:t>Smlou</w:t>
      </w:r>
      <w:r w:rsidRPr="006062F9">
        <w:rPr>
          <w:rFonts w:eastAsia="Calibri"/>
        </w:rPr>
        <w:t xml:space="preserve">va v důsledku takového označení byla uveřejněna způsobem odporujícím ZRS, a to bez ohledu na to, která ze stran </w:t>
      </w:r>
      <w:r w:rsidR="00153EB0">
        <w:rPr>
          <w:rFonts w:eastAsia="Calibri"/>
        </w:rPr>
        <w:t>Smlou</w:t>
      </w:r>
      <w:r w:rsidRPr="006062F9">
        <w:rPr>
          <w:rFonts w:eastAsia="Calibri"/>
        </w:rPr>
        <w:t xml:space="preserve">vu v registru smluv uveřejnila. S částmi </w:t>
      </w:r>
      <w:r w:rsidR="00153EB0">
        <w:rPr>
          <w:rFonts w:eastAsia="Calibri"/>
        </w:rPr>
        <w:t>Smlou</w:t>
      </w:r>
      <w:r w:rsidRPr="006062F9">
        <w:rPr>
          <w:rFonts w:eastAsia="Calibri"/>
        </w:rPr>
        <w:t xml:space="preserve">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w:t>
      </w:r>
      <w:r w:rsidR="00153EB0">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153EB0">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5B300FEF" w:rsidR="004E1498" w:rsidRPr="006062F9" w:rsidRDefault="004E1498" w:rsidP="00C74DB7">
      <w:pPr>
        <w:pStyle w:val="Nadpis2"/>
        <w:rPr>
          <w:rFonts w:eastAsia="Calibri"/>
        </w:rPr>
      </w:pPr>
      <w:r w:rsidRPr="006062F9">
        <w:rPr>
          <w:rFonts w:eastAsia="Calibri"/>
        </w:rPr>
        <w:t xml:space="preserve">Osoby uzavírající tuto </w:t>
      </w:r>
      <w:r w:rsidR="00153EB0">
        <w:rPr>
          <w:rFonts w:eastAsia="Calibri"/>
        </w:rPr>
        <w:t>Smlou</w:t>
      </w:r>
      <w:r w:rsidRPr="006062F9">
        <w:rPr>
          <w:rFonts w:eastAsia="Calibri"/>
        </w:rPr>
        <w:t xml:space="preserve">vu za Smluvní strany souhlasí s uveřejněním svých osobních údajů, které jsou uvedeny v této </w:t>
      </w:r>
      <w:r w:rsidR="00153EB0">
        <w:rPr>
          <w:rFonts w:eastAsia="Calibri"/>
        </w:rPr>
        <w:t>Smlou</w:t>
      </w:r>
      <w:r w:rsidRPr="006062F9">
        <w:rPr>
          <w:rFonts w:eastAsia="Calibri"/>
        </w:rPr>
        <w:t xml:space="preserve">vě, spolu se </w:t>
      </w:r>
      <w:r w:rsidR="00153EB0">
        <w:rPr>
          <w:rFonts w:eastAsia="Calibri"/>
        </w:rPr>
        <w:t>Smlou</w:t>
      </w:r>
      <w:r w:rsidRPr="006062F9">
        <w:rPr>
          <w:rFonts w:eastAsia="Calibri"/>
        </w:rPr>
        <w:t>vou v registru smluv. Tento souhlas je udělen na dobu neurčitou.</w:t>
      </w:r>
    </w:p>
    <w:p w14:paraId="6EBA43DC" w14:textId="11C3B7A7" w:rsidR="004E1498" w:rsidRPr="006062F9" w:rsidRDefault="006C7697" w:rsidP="00C74DB7">
      <w:pPr>
        <w:pStyle w:val="Nadpis2"/>
        <w:rPr>
          <w:rFonts w:eastAsia="Calibri"/>
        </w:rPr>
      </w:pPr>
      <w:r w:rsidRPr="006062F9">
        <w:rPr>
          <w:rFonts w:eastAsia="Calibri"/>
        </w:rPr>
        <w:t xml:space="preserve">V případě poskytnutí osobních údajů v rámci plnění smluvního vztahu se </w:t>
      </w:r>
      <w:r w:rsidR="002721A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r w:rsidR="00D34E33">
        <w:rPr>
          <w:rFonts w:eastAsia="Calibri"/>
        </w:rPr>
        <w:t xml:space="preserve"> Za účelem specifikace vzájemných práv a povinností Smluvních stran při plnění této Smlouvy ve vztahu k ochraně osobních údajů </w:t>
      </w:r>
      <w:r w:rsidR="00BD018B">
        <w:rPr>
          <w:rFonts w:eastAsia="Calibri"/>
        </w:rPr>
        <w:t xml:space="preserve">dojde </w:t>
      </w:r>
      <w:r w:rsidR="00D34E33">
        <w:rPr>
          <w:rFonts w:eastAsia="Calibri"/>
        </w:rPr>
        <w:t>mezi Smluvními stranami uzavře</w:t>
      </w:r>
      <w:r w:rsidR="00BD018B">
        <w:rPr>
          <w:rFonts w:eastAsia="Calibri"/>
        </w:rPr>
        <w:t xml:space="preserve">ním této Smlouvy rovněž k uzavření </w:t>
      </w:r>
      <w:r w:rsidR="00D34E33">
        <w:rPr>
          <w:rFonts w:eastAsia="Calibri"/>
        </w:rPr>
        <w:t>Smlouv</w:t>
      </w:r>
      <w:r w:rsidR="00BD018B">
        <w:rPr>
          <w:rFonts w:eastAsia="Calibri"/>
        </w:rPr>
        <w:t>y</w:t>
      </w:r>
      <w:r w:rsidR="00D34E33">
        <w:rPr>
          <w:rFonts w:eastAsia="Calibri"/>
        </w:rPr>
        <w:t xml:space="preserve"> o zpracování osobních údajů, která je přílohou č. 5 této Smlouvy.</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74DB7">
      <w:pPr>
        <w:pStyle w:val="Nadpis2"/>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D34E33">
        <w:rPr>
          <w:b/>
          <w:iCs/>
        </w:rPr>
        <w:t>Zákon o střetu zájmů</w:t>
      </w:r>
      <w:r w:rsidR="00CE287A" w:rsidRPr="00D34E33">
        <w:rPr>
          <w:iCs/>
        </w:rPr>
        <w:t>“)</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74DB7">
      <w:pPr>
        <w:pStyle w:val="Nadpis2"/>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D34E33"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D34E33">
        <w:rPr>
          <w:u w:val="none"/>
          <w:lang w:eastAsia="cs-CZ"/>
        </w:rPr>
        <w:t>„Sankční seznamy“</w:t>
      </w:r>
      <w:r w:rsidRPr="00D34E33">
        <w:rPr>
          <w:b w:val="0"/>
          <w:u w:val="none"/>
          <w:lang w:eastAsia="cs-CZ"/>
        </w:rPr>
        <w:t>).</w:t>
      </w:r>
    </w:p>
    <w:p w14:paraId="44062D2C" w14:textId="13EF23A5" w:rsidR="00CE287A" w:rsidRDefault="00CE287A" w:rsidP="00C74DB7">
      <w:pPr>
        <w:pStyle w:val="Nadpis2"/>
      </w:pPr>
      <w:r w:rsidRPr="00A453A2">
        <w:lastRenderedPageBreak/>
        <w:t xml:space="preserve">Je-li </w:t>
      </w:r>
      <w:r w:rsidR="004F5497">
        <w:t>Poskytovatelem</w:t>
      </w:r>
      <w:r w:rsidRPr="00A72529">
        <w:t xml:space="preserve"> </w:t>
      </w:r>
      <w:r>
        <w:t xml:space="preserve">sdružení více osob, platí podmínky dle odstavce </w:t>
      </w:r>
      <w:r w:rsidR="00F16BA0">
        <w:t>9</w:t>
      </w:r>
      <w:r>
        <w:t xml:space="preserve">.1 a </w:t>
      </w:r>
      <w:r w:rsidR="00F16BA0">
        <w:t>9</w:t>
      </w:r>
      <w:r>
        <w:t xml:space="preserve">.2 této Smlouvy také </w:t>
      </w:r>
      <w:r w:rsidRPr="008F20C9">
        <w:rPr>
          <w:rFonts w:eastAsia="Calibri"/>
        </w:rPr>
        <w:t>jednotlivě</w:t>
      </w:r>
      <w:r>
        <w:t xml:space="preserve"> pro všechny osoby v rámci </w:t>
      </w:r>
      <w:r w:rsidR="004F5497">
        <w:t>Poskytovatele</w:t>
      </w:r>
      <w:r>
        <w:t xml:space="preserve"> </w:t>
      </w:r>
      <w:r w:rsidR="002721A9">
        <w:t>sdružené,</w:t>
      </w:r>
      <w:r>
        <w:t xml:space="preserve"> a to bez ohledu na právní formu tohoto sdružení.</w:t>
      </w:r>
    </w:p>
    <w:p w14:paraId="3BFFCF3F" w14:textId="33C6FA3D" w:rsidR="00CE287A" w:rsidRPr="0073792E" w:rsidRDefault="00CE287A" w:rsidP="00C74DB7">
      <w:pPr>
        <w:pStyle w:val="Nadpis2"/>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74DB7">
      <w:pPr>
        <w:pStyle w:val="Nadpis2"/>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74DB7">
      <w:pPr>
        <w:pStyle w:val="Nadpis2"/>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107CB952" w:rsidR="009A396A" w:rsidRDefault="00CE287A" w:rsidP="00C74DB7">
      <w:pPr>
        <w:pStyle w:val="Nadpis2"/>
      </w:pPr>
      <w:proofErr w:type="gramStart"/>
      <w:r w:rsidRPr="0073792E">
        <w:t>Ukáží</w:t>
      </w:r>
      <w:proofErr w:type="gramEnd"/>
      <w:r w:rsidRPr="0073792E">
        <w:t xml:space="preserve">-li se prohlášení </w:t>
      </w:r>
      <w:r w:rsidR="004F5497">
        <w:t>Poskytovatele</w:t>
      </w:r>
      <w:r w:rsidRPr="0073792E">
        <w:t xml:space="preserve"> dle odstavce </w:t>
      </w:r>
      <w:r w:rsidR="00F16BA0">
        <w:t>9</w:t>
      </w:r>
      <w:r w:rsidRPr="0073792E">
        <w:t xml:space="preserve">.1 a </w:t>
      </w:r>
      <w:r w:rsidR="00F16BA0">
        <w:t>9</w:t>
      </w:r>
      <w:r w:rsidRPr="0073792E">
        <w:t xml:space="preserve">.2 této Smlouvy jako nepravdivá nebo poruší-li </w:t>
      </w:r>
      <w:r w:rsidR="004F5497">
        <w:t>Poskytovatel</w:t>
      </w:r>
      <w:r w:rsidRPr="0073792E">
        <w:t xml:space="preserve"> svou oznamovací povinnost dle odstavce </w:t>
      </w:r>
      <w:r w:rsidR="00F16BA0">
        <w:t>9</w:t>
      </w:r>
      <w:r w:rsidRPr="0073792E">
        <w:t xml:space="preserve">.4. nebo povinnosti dle odstavců </w:t>
      </w:r>
      <w:r w:rsidR="00F16BA0">
        <w:t>9</w:t>
      </w:r>
      <w:r w:rsidRPr="0073792E">
        <w:t xml:space="preserve">.5 nebo </w:t>
      </w:r>
      <w:r w:rsidR="00F16BA0">
        <w:t>9</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2721A9">
        <w:t>výši</w:t>
      </w:r>
      <w:r w:rsidR="00E05553" w:rsidRPr="002721A9">
        <w:t xml:space="preserve"> </w:t>
      </w:r>
      <w:proofErr w:type="gramStart"/>
      <w:r w:rsidR="00E05553" w:rsidRPr="002721A9">
        <w:t>500.000</w:t>
      </w:r>
      <w:r w:rsidR="002721A9" w:rsidRPr="002721A9">
        <w:t>,-</w:t>
      </w:r>
      <w:proofErr w:type="gramEnd"/>
      <w:r w:rsidR="002721A9" w:rsidRPr="002721A9">
        <w:t xml:space="preserve"> Kč</w:t>
      </w:r>
      <w:r w:rsidRPr="002721A9">
        <w:t>.</w:t>
      </w:r>
      <w:r w:rsidRPr="0073792E">
        <w:t xml:space="preserve">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7F3C338C" w:rsidR="004E1498" w:rsidRPr="004E1498" w:rsidRDefault="004E1498" w:rsidP="00C74DB7">
      <w:pPr>
        <w:pStyle w:val="Nadpis2"/>
      </w:pPr>
      <w:r w:rsidRPr="004E1498">
        <w:t xml:space="preserve">Tato </w:t>
      </w:r>
      <w:r w:rsidR="00FF06BE">
        <w:t>Smlou</w:t>
      </w:r>
      <w:r w:rsidRPr="004E1498">
        <w:t xml:space="preserve">va se řídí Obchodními podmínkami ke Smlouvě o </w:t>
      </w:r>
      <w:r w:rsidR="004A519A">
        <w:t>poskytování služeb</w:t>
      </w:r>
      <w:r w:rsidRPr="004E1498">
        <w:t xml:space="preserve"> (dále jen „</w:t>
      </w:r>
      <w:r w:rsidRPr="00765F9F">
        <w:rPr>
          <w:b/>
          <w:bCs/>
        </w:rPr>
        <w:t>Obchodní podmínky</w:t>
      </w:r>
      <w:r w:rsidR="0086114C" w:rsidRPr="004E1498">
        <w:t>“)</w:t>
      </w:r>
      <w:r w:rsidRPr="004E1498">
        <w:t>. Odchylná ujednání v</w:t>
      </w:r>
      <w:r w:rsidR="004F6CCD">
        <w:t xml:space="preserve"> této </w:t>
      </w:r>
      <w:r w:rsidRPr="004E1498">
        <w:t>Smlouvě mají před zněním Obchodních podmínek přednost.</w:t>
      </w:r>
    </w:p>
    <w:p w14:paraId="208700BA" w14:textId="564BB0DC" w:rsidR="004E1498" w:rsidRPr="004E1498" w:rsidRDefault="00E73DA0" w:rsidP="00C74DB7">
      <w:pPr>
        <w:pStyle w:val="Nadpis2"/>
      </w:pPr>
      <w:r>
        <w:t>Poskytovatel</w:t>
      </w:r>
      <w:r w:rsidR="004E1498" w:rsidRPr="004E1498">
        <w:t xml:space="preserve"> prohlašuje, že </w:t>
      </w:r>
    </w:p>
    <w:p w14:paraId="7633B164" w14:textId="7DD8E83C" w:rsidR="004E1498" w:rsidRPr="004E1498" w:rsidRDefault="004E1498" w:rsidP="00321172">
      <w:pPr>
        <w:pStyle w:val="Nadpis3"/>
        <w:widowControl w:val="0"/>
      </w:pPr>
      <w:r w:rsidRPr="004E1498">
        <w:t xml:space="preserve">se zněním Obchodních podmínek se před podpisem této </w:t>
      </w:r>
      <w:r w:rsidR="00FF06BE">
        <w:t>Smlou</w:t>
      </w:r>
      <w:r w:rsidRPr="004E1498">
        <w:t>vy seznámil,</w:t>
      </w:r>
    </w:p>
    <w:p w14:paraId="382930A8" w14:textId="4D0EA250" w:rsidR="004E1498" w:rsidRPr="004E1498" w:rsidRDefault="004E1498" w:rsidP="00321172">
      <w:pPr>
        <w:pStyle w:val="Nadpis3"/>
        <w:widowControl w:val="0"/>
      </w:pPr>
      <w:r w:rsidRPr="004E1498">
        <w:t xml:space="preserve">v dostatečném rozsahu se seznámil s veškerými požadavky Objednatele dle této </w:t>
      </w:r>
      <w:r w:rsidR="00FF06BE">
        <w:t>Smlou</w:t>
      </w:r>
      <w:r w:rsidRPr="004E1498">
        <w:t xml:space="preserve">vy, přičemž si není vědom žádným překážek, které by mu bránily v poskytnutí sjednaného plnění v souladu s touto </w:t>
      </w:r>
      <w:r w:rsidR="00FF06BE">
        <w:t>Smlou</w:t>
      </w:r>
      <w:r w:rsidRPr="004E1498">
        <w:t>vou.</w:t>
      </w:r>
    </w:p>
    <w:p w14:paraId="7C89F548" w14:textId="3B22A94B" w:rsidR="006E6E61" w:rsidRPr="006E6E61" w:rsidRDefault="00A63FD5" w:rsidP="00C74DB7">
      <w:pPr>
        <w:pStyle w:val="Nadpis2"/>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C74DB7">
      <w:pPr>
        <w:pStyle w:val="Nadpis2"/>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C74DB7">
      <w:pPr>
        <w:pStyle w:val="Nadpis2"/>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C74DB7">
      <w:pPr>
        <w:pStyle w:val="Nadpis2"/>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C74DB7">
      <w:pPr>
        <w:pStyle w:val="Nadpis2"/>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C74DB7">
      <w:pPr>
        <w:pStyle w:val="Nadpis2"/>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260DB2" w:rsidRDefault="004E1498" w:rsidP="00C74DB7">
      <w:pPr>
        <w:pStyle w:val="Nadpis2"/>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w:t>
      </w:r>
      <w:r w:rsidRPr="00260DB2">
        <w:t>ani povinnosti Smluvním stranám nevznikají.</w:t>
      </w:r>
    </w:p>
    <w:p w14:paraId="50EA6B13" w14:textId="4F348229" w:rsidR="004E1498" w:rsidRPr="00260DB2" w:rsidRDefault="004E1498" w:rsidP="00C74DB7">
      <w:pPr>
        <w:pStyle w:val="Nadpis2"/>
      </w:pPr>
      <w:r w:rsidRPr="00260DB2">
        <w:t xml:space="preserve">Zvláštní podmínky, na které odkazuje Smlouva o </w:t>
      </w:r>
      <w:r w:rsidR="004A519A" w:rsidRPr="00260DB2">
        <w:t>poskytování služeb</w:t>
      </w:r>
      <w:r w:rsidRPr="00260DB2">
        <w:t xml:space="preserve">, mají přednost před zněním Obchodních podmínek, Obchodní podmínky se užijí v rozsahu, v jakém nejsou </w:t>
      </w:r>
      <w:r w:rsidRPr="00260DB2">
        <w:lastRenderedPageBreak/>
        <w:t>v rozporu s takovými zvláštními podmínkami.</w:t>
      </w:r>
    </w:p>
    <w:p w14:paraId="0DB923BD" w14:textId="77777777" w:rsidR="00B66E16" w:rsidRPr="00260DB2" w:rsidRDefault="00B66E16" w:rsidP="00D34E33">
      <w:pPr>
        <w:pStyle w:val="Nadpis2"/>
        <w:keepLines/>
      </w:pPr>
      <w:r w:rsidRPr="00260DB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260DB2" w:rsidRDefault="004E1498" w:rsidP="00765F9F">
      <w:pPr>
        <w:keepNext/>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260DB2">
        <w:rPr>
          <w:rFonts w:eastAsia="Times New Roman" w:cs="Times New Roman"/>
          <w:b/>
          <w:lang w:eastAsia="cs-CZ"/>
        </w:rPr>
        <w:t>Přílohy</w:t>
      </w:r>
    </w:p>
    <w:p w14:paraId="28D5F6B0" w14:textId="38DAC4F4" w:rsidR="007F328C" w:rsidRPr="00260DB2" w:rsidRDefault="007F328C" w:rsidP="00D34E33">
      <w:pPr>
        <w:keepNext/>
        <w:widowControl w:val="0"/>
        <w:numPr>
          <w:ilvl w:val="0"/>
          <w:numId w:val="5"/>
        </w:numPr>
        <w:overflowPunct w:val="0"/>
        <w:autoSpaceDE w:val="0"/>
        <w:autoSpaceDN w:val="0"/>
        <w:adjustRightInd w:val="0"/>
        <w:spacing w:after="0" w:line="240" w:lineRule="auto"/>
        <w:ind w:left="284" w:hanging="284"/>
        <w:contextualSpacing/>
        <w:jc w:val="both"/>
        <w:textAlignment w:val="baseline"/>
        <w:rPr>
          <w:rFonts w:eastAsia="Times New Roman" w:cs="Times New Roman"/>
          <w:lang w:eastAsia="cs-CZ"/>
        </w:rPr>
      </w:pPr>
      <w:r w:rsidRPr="00260DB2">
        <w:rPr>
          <w:rFonts w:eastAsia="Times New Roman" w:cs="Times New Roman"/>
          <w:lang w:eastAsia="cs-CZ"/>
        </w:rPr>
        <w:t xml:space="preserve">Obchodní podmínky ke Smlouvě o poskytování služeb </w:t>
      </w:r>
    </w:p>
    <w:p w14:paraId="71D944D0" w14:textId="129721E7" w:rsidR="00B66E16" w:rsidRPr="00260DB2" w:rsidRDefault="00B66E16" w:rsidP="00D34E33">
      <w:pPr>
        <w:keepNext/>
        <w:widowControl w:val="0"/>
        <w:numPr>
          <w:ilvl w:val="0"/>
          <w:numId w:val="5"/>
        </w:numPr>
        <w:overflowPunct w:val="0"/>
        <w:autoSpaceDE w:val="0"/>
        <w:autoSpaceDN w:val="0"/>
        <w:adjustRightInd w:val="0"/>
        <w:spacing w:after="0" w:line="240" w:lineRule="auto"/>
        <w:ind w:left="284" w:hanging="284"/>
        <w:contextualSpacing/>
        <w:jc w:val="both"/>
        <w:textAlignment w:val="baseline"/>
        <w:rPr>
          <w:rFonts w:eastAsia="Times New Roman" w:cs="Times New Roman"/>
          <w:lang w:eastAsia="cs-CZ"/>
        </w:rPr>
      </w:pPr>
      <w:r w:rsidRPr="00260DB2">
        <w:rPr>
          <w:rFonts w:eastAsia="Times New Roman" w:cs="Times New Roman"/>
          <w:lang w:eastAsia="cs-CZ"/>
        </w:rPr>
        <w:t>Bližší specifikace</w:t>
      </w:r>
      <w:r w:rsidR="00260DB2" w:rsidRPr="00260DB2">
        <w:rPr>
          <w:rFonts w:eastAsia="Times New Roman" w:cs="Times New Roman"/>
          <w:lang w:eastAsia="cs-CZ"/>
        </w:rPr>
        <w:t xml:space="preserve"> předmětu plnění </w:t>
      </w:r>
    </w:p>
    <w:p w14:paraId="7C809827" w14:textId="4AFC57FC" w:rsidR="00B66E16" w:rsidRPr="00260DB2" w:rsidRDefault="00B66E16" w:rsidP="00D34E33">
      <w:pPr>
        <w:widowControl w:val="0"/>
        <w:numPr>
          <w:ilvl w:val="0"/>
          <w:numId w:val="5"/>
        </w:numPr>
        <w:overflowPunct w:val="0"/>
        <w:autoSpaceDE w:val="0"/>
        <w:autoSpaceDN w:val="0"/>
        <w:adjustRightInd w:val="0"/>
        <w:spacing w:after="0" w:line="240" w:lineRule="auto"/>
        <w:ind w:left="284" w:hanging="284"/>
        <w:contextualSpacing/>
        <w:jc w:val="both"/>
        <w:textAlignment w:val="baseline"/>
        <w:rPr>
          <w:rFonts w:eastAsia="Times New Roman" w:cs="Times New Roman"/>
          <w:highlight w:val="green"/>
          <w:lang w:eastAsia="cs-CZ"/>
        </w:rPr>
      </w:pPr>
      <w:r w:rsidRPr="00260DB2">
        <w:rPr>
          <w:rFonts w:eastAsia="Times New Roman" w:cs="Times New Roman"/>
          <w:highlight w:val="green"/>
          <w:lang w:eastAsia="cs-CZ"/>
        </w:rPr>
        <w:t xml:space="preserve">Seznam poddodavatelů – doplní </w:t>
      </w:r>
      <w:r w:rsidR="004E7B39" w:rsidRPr="00260DB2">
        <w:rPr>
          <w:rFonts w:eastAsia="Times New Roman" w:cs="Times New Roman"/>
          <w:highlight w:val="green"/>
          <w:lang w:eastAsia="cs-CZ"/>
        </w:rPr>
        <w:t>Poskytovatel</w:t>
      </w:r>
    </w:p>
    <w:p w14:paraId="4DC839CF" w14:textId="2FF6B2DF" w:rsidR="00260DB2" w:rsidRPr="00260DB2" w:rsidRDefault="00260DB2" w:rsidP="00D34E33">
      <w:pPr>
        <w:pStyle w:val="Odstavecseseznamem"/>
        <w:widowControl w:val="0"/>
        <w:numPr>
          <w:ilvl w:val="0"/>
          <w:numId w:val="5"/>
        </w:numPr>
        <w:overflowPunct w:val="0"/>
        <w:autoSpaceDE w:val="0"/>
        <w:autoSpaceDN w:val="0"/>
        <w:adjustRightInd w:val="0"/>
        <w:spacing w:after="0" w:line="240" w:lineRule="auto"/>
        <w:ind w:left="284" w:hanging="284"/>
        <w:jc w:val="both"/>
        <w:textAlignment w:val="baseline"/>
        <w:rPr>
          <w:rFonts w:eastAsia="Times New Roman" w:cs="Times New Roman"/>
          <w:highlight w:val="green"/>
          <w:lang w:eastAsia="cs-CZ"/>
        </w:rPr>
      </w:pPr>
      <w:r w:rsidRPr="00260DB2">
        <w:rPr>
          <w:rFonts w:eastAsia="Times New Roman" w:cs="Times New Roman"/>
          <w:highlight w:val="green"/>
          <w:lang w:eastAsia="cs-CZ"/>
        </w:rPr>
        <w:t xml:space="preserve">Seznam realizačního </w:t>
      </w:r>
      <w:r w:rsidR="00454A93" w:rsidRPr="00260DB2">
        <w:rPr>
          <w:rFonts w:eastAsia="Times New Roman" w:cs="Times New Roman"/>
          <w:highlight w:val="green"/>
          <w:lang w:eastAsia="cs-CZ"/>
        </w:rPr>
        <w:t>týmu – doplní</w:t>
      </w:r>
      <w:r w:rsidRPr="00260DB2">
        <w:rPr>
          <w:rFonts w:eastAsia="Times New Roman" w:cs="Times New Roman"/>
          <w:highlight w:val="green"/>
          <w:lang w:eastAsia="cs-CZ"/>
        </w:rPr>
        <w:t xml:space="preserve"> Poskytovatel</w:t>
      </w:r>
    </w:p>
    <w:p w14:paraId="249E92E7" w14:textId="26FE2683" w:rsidR="008470DC" w:rsidRDefault="008470DC" w:rsidP="00D34E33">
      <w:pPr>
        <w:pStyle w:val="Odstavecseseznamem"/>
        <w:widowControl w:val="0"/>
        <w:numPr>
          <w:ilvl w:val="0"/>
          <w:numId w:val="5"/>
        </w:numPr>
        <w:overflowPunct w:val="0"/>
        <w:autoSpaceDE w:val="0"/>
        <w:autoSpaceDN w:val="0"/>
        <w:adjustRightInd w:val="0"/>
        <w:spacing w:after="0" w:line="240" w:lineRule="auto"/>
        <w:ind w:left="284" w:hanging="284"/>
        <w:jc w:val="both"/>
        <w:textAlignment w:val="baseline"/>
        <w:rPr>
          <w:rFonts w:eastAsia="Times New Roman" w:cs="Times New Roman"/>
          <w:lang w:eastAsia="cs-CZ"/>
        </w:rPr>
      </w:pPr>
      <w:r>
        <w:rPr>
          <w:rFonts w:eastAsia="Times New Roman" w:cs="Times New Roman"/>
          <w:lang w:eastAsia="cs-CZ"/>
        </w:rPr>
        <w:t xml:space="preserve">Smlouva o </w:t>
      </w:r>
      <w:r w:rsidR="00D34E33">
        <w:rPr>
          <w:rFonts w:eastAsia="Times New Roman" w:cs="Times New Roman"/>
          <w:lang w:eastAsia="cs-CZ"/>
        </w:rPr>
        <w:t xml:space="preserve">zpracování </w:t>
      </w:r>
      <w:r>
        <w:rPr>
          <w:rFonts w:eastAsia="Times New Roman" w:cs="Times New Roman"/>
          <w:lang w:eastAsia="cs-CZ"/>
        </w:rPr>
        <w:t>osobních údajů</w:t>
      </w:r>
    </w:p>
    <w:p w14:paraId="6C5A111E" w14:textId="7EE7FB3F" w:rsidR="00B66E16" w:rsidRPr="0059386F" w:rsidRDefault="00B66E16" w:rsidP="00D34E33">
      <w:pPr>
        <w:pStyle w:val="Odstavecseseznamem"/>
        <w:widowControl w:val="0"/>
        <w:numPr>
          <w:ilvl w:val="0"/>
          <w:numId w:val="5"/>
        </w:numPr>
        <w:overflowPunct w:val="0"/>
        <w:autoSpaceDE w:val="0"/>
        <w:autoSpaceDN w:val="0"/>
        <w:adjustRightInd w:val="0"/>
        <w:spacing w:after="0" w:line="240" w:lineRule="auto"/>
        <w:ind w:left="284" w:hanging="284"/>
        <w:jc w:val="both"/>
        <w:textAlignment w:val="baseline"/>
        <w:rPr>
          <w:rFonts w:eastAsia="Times New Roman" w:cs="Times New Roman"/>
          <w:highlight w:val="green"/>
          <w:lang w:eastAsia="cs-CZ"/>
        </w:rPr>
      </w:pPr>
      <w:r w:rsidRPr="0059386F">
        <w:rPr>
          <w:rFonts w:eastAsia="Times New Roman" w:cs="Times New Roman"/>
          <w:highlight w:val="green"/>
          <w:lang w:eastAsia="cs-CZ"/>
        </w:rPr>
        <w:t xml:space="preserve">Plná moc (pouze v případě zastoupení </w:t>
      </w:r>
      <w:r w:rsidR="004E7B39" w:rsidRPr="0059386F">
        <w:rPr>
          <w:rFonts w:eastAsia="Times New Roman" w:cs="Times New Roman"/>
          <w:highlight w:val="green"/>
          <w:lang w:eastAsia="cs-CZ"/>
        </w:rPr>
        <w:t>Poskytovatel</w:t>
      </w:r>
      <w:r w:rsidRPr="0059386F">
        <w:rPr>
          <w:rFonts w:eastAsia="Times New Roman" w:cs="Times New Roman"/>
          <w:highlight w:val="green"/>
          <w:lang w:eastAsia="cs-CZ"/>
        </w:rPr>
        <w:t>e osobou na základě plné moci)</w:t>
      </w: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37B4333D" w14:textId="77777777" w:rsidR="00765F9F" w:rsidRDefault="00765F9F" w:rsidP="00321172">
      <w:pPr>
        <w:widowControl w:val="0"/>
        <w:spacing w:after="0" w:line="276" w:lineRule="auto"/>
        <w:jc w:val="both"/>
        <w:rPr>
          <w:rFonts w:asciiTheme="majorHAnsi" w:hAnsiTheme="majorHAnsi"/>
        </w:rPr>
      </w:pPr>
    </w:p>
    <w:p w14:paraId="731B7242" w14:textId="2B5D7BD7"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07132D92" w14:textId="77777777" w:rsidR="00D45DE0" w:rsidRDefault="00D45DE0" w:rsidP="00321172">
      <w:pPr>
        <w:widowControl w:val="0"/>
        <w:spacing w:after="0" w:line="276" w:lineRule="auto"/>
        <w:jc w:val="both"/>
        <w:rPr>
          <w:rFonts w:asciiTheme="majorHAnsi" w:hAnsiTheme="majorHAnsi"/>
        </w:rPr>
      </w:pPr>
    </w:p>
    <w:p w14:paraId="65EB351D" w14:textId="77777777" w:rsidR="00AE0269" w:rsidRDefault="00AE0269" w:rsidP="00321172">
      <w:pPr>
        <w:widowControl w:val="0"/>
        <w:spacing w:after="0" w:line="276" w:lineRule="auto"/>
        <w:jc w:val="both"/>
        <w:rPr>
          <w:rFonts w:asciiTheme="majorHAnsi" w:hAnsiTheme="majorHAnsi"/>
        </w:rPr>
      </w:pPr>
    </w:p>
    <w:p w14:paraId="35DE8CAD" w14:textId="77777777" w:rsidR="00AE0269" w:rsidRDefault="00AE0269"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4051844E" w:rsidR="00D45DE0" w:rsidRDefault="00260DB2" w:rsidP="00321172">
      <w:pPr>
        <w:widowControl w:val="0"/>
        <w:spacing w:after="0" w:line="276" w:lineRule="auto"/>
        <w:rPr>
          <w:rFonts w:asciiTheme="majorHAnsi" w:hAnsiTheme="majorHAnsi"/>
        </w:rPr>
      </w:pPr>
      <w:r w:rsidRPr="00260DB2">
        <w:rPr>
          <w:b/>
          <w:noProof/>
        </w:rPr>
        <w:t>Bc. Jiří Svoboda, MBA</w:t>
      </w:r>
      <w:r w:rsidR="008B24C9" w:rsidRPr="00260DB2">
        <w:rPr>
          <w:b/>
          <w:noProof/>
        </w:rPr>
        <w:tab/>
      </w:r>
      <w:r w:rsidR="008B24C9" w:rsidRPr="00321172">
        <w:rPr>
          <w:noProof/>
        </w:rPr>
        <w:tab/>
      </w:r>
      <w:r w:rsidR="008B24C9" w:rsidRPr="00321172">
        <w:rPr>
          <w:noProof/>
        </w:rPr>
        <w:tab/>
      </w:r>
      <w:r w:rsidR="008B24C9" w:rsidRPr="00321172">
        <w:rPr>
          <w:noProof/>
        </w:rPr>
        <w:tab/>
      </w:r>
      <w:r w:rsidR="00D45DE0" w:rsidRPr="00321172">
        <w:rPr>
          <w:rFonts w:asciiTheme="majorHAnsi" w:hAnsiTheme="majorHAnsi"/>
          <w:noProof/>
          <w:highlight w:val="green"/>
        </w:rPr>
        <w:t>[</w:t>
      </w:r>
      <w:r w:rsidR="00D45DE0" w:rsidRPr="00321172">
        <w:rPr>
          <w:rFonts w:asciiTheme="majorHAnsi" w:hAnsiTheme="majorHAnsi"/>
          <w:iCs/>
          <w:noProof/>
          <w:highlight w:val="green"/>
        </w:rPr>
        <w:t>DOPLNÍ POSKYTOVATEL</w:t>
      </w:r>
      <w:r w:rsidR="00D45DE0" w:rsidRPr="00321172">
        <w:rPr>
          <w:rFonts w:asciiTheme="majorHAnsi" w:hAnsiTheme="majorHAnsi"/>
          <w:noProof/>
          <w:highlight w:val="green"/>
        </w:rPr>
        <w:t>]</w:t>
      </w:r>
      <w:r w:rsidR="008B24C9">
        <w:rPr>
          <w:rFonts w:asciiTheme="majorHAnsi" w:hAnsiTheme="majorHAnsi"/>
          <w:noProof/>
        </w:rPr>
        <w:br/>
      </w:r>
      <w:r w:rsidRPr="00260DB2">
        <w:rPr>
          <w:rFonts w:asciiTheme="majorHAnsi" w:hAnsiTheme="majorHAnsi"/>
        </w:rPr>
        <w:t>generální ředitel</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6B305F">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E9954" w14:textId="77777777" w:rsidR="00A9040B" w:rsidRDefault="00A9040B" w:rsidP="00962258">
      <w:pPr>
        <w:spacing w:after="0" w:line="240" w:lineRule="auto"/>
      </w:pPr>
      <w:r>
        <w:separator/>
      </w:r>
    </w:p>
  </w:endnote>
  <w:endnote w:type="continuationSeparator" w:id="0">
    <w:p w14:paraId="3AEF207C" w14:textId="77777777" w:rsidR="00A9040B" w:rsidRDefault="00A904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5C5FAB"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5865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3CCBA4"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B2018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6C701" w14:textId="77777777" w:rsidR="00A9040B" w:rsidRDefault="00A9040B" w:rsidP="00962258">
      <w:pPr>
        <w:spacing w:after="0" w:line="240" w:lineRule="auto"/>
      </w:pPr>
      <w:r>
        <w:separator/>
      </w:r>
    </w:p>
  </w:footnote>
  <w:footnote w:type="continuationSeparator" w:id="0">
    <w:p w14:paraId="0F818383" w14:textId="77777777" w:rsidR="00A9040B" w:rsidRDefault="00A904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84E1D8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143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04555619">
    <w:abstractNumId w:val="5"/>
  </w:num>
  <w:num w:numId="2" w16cid:durableId="870070496">
    <w:abstractNumId w:val="2"/>
  </w:num>
  <w:num w:numId="3" w16cid:durableId="100687058">
    <w:abstractNumId w:val="7"/>
  </w:num>
  <w:num w:numId="4" w16cid:durableId="188883349">
    <w:abstractNumId w:val="20"/>
  </w:num>
  <w:num w:numId="5" w16cid:durableId="1051660470">
    <w:abstractNumId w:val="10"/>
  </w:num>
  <w:num w:numId="6" w16cid:durableId="564800581">
    <w:abstractNumId w:val="1"/>
  </w:num>
  <w:num w:numId="7" w16cid:durableId="1710254360">
    <w:abstractNumId w:val="12"/>
  </w:num>
  <w:num w:numId="8" w16cid:durableId="36316335">
    <w:abstractNumId w:val="21"/>
  </w:num>
  <w:num w:numId="9" w16cid:durableId="562833151">
    <w:abstractNumId w:val="13"/>
  </w:num>
  <w:num w:numId="10" w16cid:durableId="1328366793">
    <w:abstractNumId w:val="8"/>
  </w:num>
  <w:num w:numId="11" w16cid:durableId="59864993">
    <w:abstractNumId w:val="3"/>
  </w:num>
  <w:num w:numId="12" w16cid:durableId="1960723720">
    <w:abstractNumId w:val="18"/>
  </w:num>
  <w:num w:numId="13" w16cid:durableId="1463307672">
    <w:abstractNumId w:val="19"/>
  </w:num>
  <w:num w:numId="14" w16cid:durableId="253898801">
    <w:abstractNumId w:val="6"/>
  </w:num>
  <w:num w:numId="15" w16cid:durableId="155456769">
    <w:abstractNumId w:val="22"/>
  </w:num>
  <w:num w:numId="16" w16cid:durableId="780682062">
    <w:abstractNumId w:val="14"/>
  </w:num>
  <w:num w:numId="17" w16cid:durableId="1805150745">
    <w:abstractNumId w:val="9"/>
  </w:num>
  <w:num w:numId="18" w16cid:durableId="1774396707">
    <w:abstractNumId w:val="11"/>
  </w:num>
  <w:num w:numId="19" w16cid:durableId="1210918748">
    <w:abstractNumId w:val="17"/>
  </w:num>
  <w:num w:numId="20" w16cid:durableId="348727307">
    <w:abstractNumId w:val="16"/>
  </w:num>
  <w:num w:numId="21" w16cid:durableId="131098703">
    <w:abstractNumId w:val="9"/>
  </w:num>
  <w:num w:numId="22" w16cid:durableId="1233157596">
    <w:abstractNumId w:val="9"/>
  </w:num>
  <w:num w:numId="23" w16cid:durableId="1773545335">
    <w:abstractNumId w:val="9"/>
  </w:num>
  <w:num w:numId="24" w16cid:durableId="1123764881">
    <w:abstractNumId w:val="9"/>
  </w:num>
  <w:num w:numId="25" w16cid:durableId="316691488">
    <w:abstractNumId w:val="9"/>
  </w:num>
  <w:num w:numId="26" w16cid:durableId="217128064">
    <w:abstractNumId w:val="9"/>
  </w:num>
  <w:num w:numId="27" w16cid:durableId="1164589096">
    <w:abstractNumId w:val="9"/>
  </w:num>
  <w:num w:numId="28" w16cid:durableId="952707498">
    <w:abstractNumId w:val="9"/>
  </w:num>
  <w:num w:numId="29" w16cid:durableId="403651704">
    <w:abstractNumId w:val="9"/>
  </w:num>
  <w:num w:numId="30" w16cid:durableId="1685548772">
    <w:abstractNumId w:val="9"/>
  </w:num>
  <w:num w:numId="31" w16cid:durableId="1988439164">
    <w:abstractNumId w:val="9"/>
  </w:num>
  <w:num w:numId="32" w16cid:durableId="485241540">
    <w:abstractNumId w:val="9"/>
  </w:num>
  <w:num w:numId="33" w16cid:durableId="234049975">
    <w:abstractNumId w:val="9"/>
  </w:num>
  <w:num w:numId="34" w16cid:durableId="2125339211">
    <w:abstractNumId w:val="15"/>
  </w:num>
  <w:num w:numId="35" w16cid:durableId="1143885349">
    <w:abstractNumId w:val="9"/>
  </w:num>
  <w:num w:numId="36" w16cid:durableId="786461966">
    <w:abstractNumId w:val="9"/>
  </w:num>
  <w:num w:numId="37" w16cid:durableId="396514992">
    <w:abstractNumId w:val="9"/>
  </w:num>
  <w:num w:numId="38" w16cid:durableId="1252543093">
    <w:abstractNumId w:val="0"/>
  </w:num>
  <w:num w:numId="39" w16cid:durableId="1918974966">
    <w:abstractNumId w:val="9"/>
  </w:num>
  <w:num w:numId="40" w16cid:durableId="770275334">
    <w:abstractNumId w:val="4"/>
  </w:num>
  <w:num w:numId="41" w16cid:durableId="612128914">
    <w:abstractNumId w:val="9"/>
  </w:num>
  <w:num w:numId="42" w16cid:durableId="2061047889">
    <w:abstractNumId w:val="9"/>
  </w:num>
  <w:num w:numId="43" w16cid:durableId="796533384">
    <w:abstractNumId w:val="9"/>
  </w:num>
  <w:num w:numId="44" w16cid:durableId="77950519">
    <w:abstractNumId w:val="9"/>
  </w:num>
  <w:num w:numId="45" w16cid:durableId="228150348">
    <w:abstractNumId w:val="9"/>
  </w:num>
  <w:num w:numId="46" w16cid:durableId="117188922">
    <w:abstractNumId w:val="9"/>
  </w:num>
  <w:num w:numId="47" w16cid:durableId="516769336">
    <w:abstractNumId w:val="9"/>
  </w:num>
  <w:num w:numId="48" w16cid:durableId="127975076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763D3"/>
    <w:rsid w:val="00080B49"/>
    <w:rsid w:val="000838F5"/>
    <w:rsid w:val="000A1088"/>
    <w:rsid w:val="000A13BC"/>
    <w:rsid w:val="000A3F85"/>
    <w:rsid w:val="000C2D37"/>
    <w:rsid w:val="000D1A0F"/>
    <w:rsid w:val="000E23A7"/>
    <w:rsid w:val="000F4F6A"/>
    <w:rsid w:val="0010396B"/>
    <w:rsid w:val="0010693F"/>
    <w:rsid w:val="00107E5E"/>
    <w:rsid w:val="00111F39"/>
    <w:rsid w:val="00114472"/>
    <w:rsid w:val="0013379C"/>
    <w:rsid w:val="00153EB0"/>
    <w:rsid w:val="001550BC"/>
    <w:rsid w:val="001605B9"/>
    <w:rsid w:val="00170EC5"/>
    <w:rsid w:val="001747C1"/>
    <w:rsid w:val="00184743"/>
    <w:rsid w:val="001F32C9"/>
    <w:rsid w:val="001F7617"/>
    <w:rsid w:val="00207DF5"/>
    <w:rsid w:val="002137C4"/>
    <w:rsid w:val="00257C17"/>
    <w:rsid w:val="00260DB2"/>
    <w:rsid w:val="002721A9"/>
    <w:rsid w:val="00277A7C"/>
    <w:rsid w:val="00280E07"/>
    <w:rsid w:val="002A6874"/>
    <w:rsid w:val="002B57E1"/>
    <w:rsid w:val="002C31BF"/>
    <w:rsid w:val="002D08B1"/>
    <w:rsid w:val="002E0CD7"/>
    <w:rsid w:val="003013FA"/>
    <w:rsid w:val="003071BD"/>
    <w:rsid w:val="00321172"/>
    <w:rsid w:val="00341DCF"/>
    <w:rsid w:val="003452CE"/>
    <w:rsid w:val="003557CB"/>
    <w:rsid w:val="00357BC6"/>
    <w:rsid w:val="00364455"/>
    <w:rsid w:val="003714E4"/>
    <w:rsid w:val="003956C6"/>
    <w:rsid w:val="003A1DDA"/>
    <w:rsid w:val="003A4D59"/>
    <w:rsid w:val="003A54B8"/>
    <w:rsid w:val="003B39EC"/>
    <w:rsid w:val="003D12BD"/>
    <w:rsid w:val="003D703A"/>
    <w:rsid w:val="003E082D"/>
    <w:rsid w:val="003F20D8"/>
    <w:rsid w:val="00441430"/>
    <w:rsid w:val="00450F07"/>
    <w:rsid w:val="00453CD3"/>
    <w:rsid w:val="00454A93"/>
    <w:rsid w:val="00460660"/>
    <w:rsid w:val="004620D4"/>
    <w:rsid w:val="00486107"/>
    <w:rsid w:val="00491827"/>
    <w:rsid w:val="00492DAB"/>
    <w:rsid w:val="00493B1B"/>
    <w:rsid w:val="00494F81"/>
    <w:rsid w:val="004A2970"/>
    <w:rsid w:val="004A5160"/>
    <w:rsid w:val="004A519A"/>
    <w:rsid w:val="004A6222"/>
    <w:rsid w:val="004B348C"/>
    <w:rsid w:val="004C4399"/>
    <w:rsid w:val="004C728D"/>
    <w:rsid w:val="004C787C"/>
    <w:rsid w:val="004E143C"/>
    <w:rsid w:val="004E1498"/>
    <w:rsid w:val="004E3A53"/>
    <w:rsid w:val="004E7B39"/>
    <w:rsid w:val="004F38D6"/>
    <w:rsid w:val="004F4B9B"/>
    <w:rsid w:val="004F5497"/>
    <w:rsid w:val="004F6CCD"/>
    <w:rsid w:val="00503B7A"/>
    <w:rsid w:val="00511AB9"/>
    <w:rsid w:val="00522467"/>
    <w:rsid w:val="00523EA7"/>
    <w:rsid w:val="00527421"/>
    <w:rsid w:val="00537B7A"/>
    <w:rsid w:val="00553375"/>
    <w:rsid w:val="005736B7"/>
    <w:rsid w:val="00575E5A"/>
    <w:rsid w:val="00591D90"/>
    <w:rsid w:val="00592757"/>
    <w:rsid w:val="0059386F"/>
    <w:rsid w:val="00597E84"/>
    <w:rsid w:val="005B76DD"/>
    <w:rsid w:val="005C2387"/>
    <w:rsid w:val="005D5624"/>
    <w:rsid w:val="005E7A24"/>
    <w:rsid w:val="005F1404"/>
    <w:rsid w:val="0060520C"/>
    <w:rsid w:val="006062F9"/>
    <w:rsid w:val="0061068E"/>
    <w:rsid w:val="0062502C"/>
    <w:rsid w:val="006478B3"/>
    <w:rsid w:val="00660AD3"/>
    <w:rsid w:val="00664696"/>
    <w:rsid w:val="00677B7F"/>
    <w:rsid w:val="006A461F"/>
    <w:rsid w:val="006A5570"/>
    <w:rsid w:val="006A689C"/>
    <w:rsid w:val="006B305F"/>
    <w:rsid w:val="006B3D79"/>
    <w:rsid w:val="006C7697"/>
    <w:rsid w:val="006D655A"/>
    <w:rsid w:val="006D7AFE"/>
    <w:rsid w:val="006E0578"/>
    <w:rsid w:val="006E226E"/>
    <w:rsid w:val="006E314D"/>
    <w:rsid w:val="006E3E36"/>
    <w:rsid w:val="006E6E61"/>
    <w:rsid w:val="006F7CD7"/>
    <w:rsid w:val="00702628"/>
    <w:rsid w:val="00705D26"/>
    <w:rsid w:val="007061F8"/>
    <w:rsid w:val="00710723"/>
    <w:rsid w:val="007163E2"/>
    <w:rsid w:val="00723ED1"/>
    <w:rsid w:val="00743525"/>
    <w:rsid w:val="00744CF6"/>
    <w:rsid w:val="007510DD"/>
    <w:rsid w:val="0076286B"/>
    <w:rsid w:val="00765F9F"/>
    <w:rsid w:val="00766846"/>
    <w:rsid w:val="00770B01"/>
    <w:rsid w:val="0077673A"/>
    <w:rsid w:val="007846E1"/>
    <w:rsid w:val="007A0C04"/>
    <w:rsid w:val="007A27FA"/>
    <w:rsid w:val="007B570C"/>
    <w:rsid w:val="007C589B"/>
    <w:rsid w:val="007E4A6E"/>
    <w:rsid w:val="007F328C"/>
    <w:rsid w:val="007F56A7"/>
    <w:rsid w:val="00807DD0"/>
    <w:rsid w:val="00810E9B"/>
    <w:rsid w:val="008124E5"/>
    <w:rsid w:val="008470DC"/>
    <w:rsid w:val="00857AFF"/>
    <w:rsid w:val="0086114C"/>
    <w:rsid w:val="008659F3"/>
    <w:rsid w:val="008819E9"/>
    <w:rsid w:val="00886D4B"/>
    <w:rsid w:val="00895406"/>
    <w:rsid w:val="008A3568"/>
    <w:rsid w:val="008B24C9"/>
    <w:rsid w:val="008D03B9"/>
    <w:rsid w:val="008E1E86"/>
    <w:rsid w:val="008F18D6"/>
    <w:rsid w:val="008F3BC6"/>
    <w:rsid w:val="008F5514"/>
    <w:rsid w:val="008F7DFE"/>
    <w:rsid w:val="00904780"/>
    <w:rsid w:val="00922385"/>
    <w:rsid w:val="009223DF"/>
    <w:rsid w:val="009333C7"/>
    <w:rsid w:val="00936091"/>
    <w:rsid w:val="00940D8A"/>
    <w:rsid w:val="00950C1F"/>
    <w:rsid w:val="00962258"/>
    <w:rsid w:val="009678B7"/>
    <w:rsid w:val="009833E1"/>
    <w:rsid w:val="00992D9C"/>
    <w:rsid w:val="00996CB8"/>
    <w:rsid w:val="009A0078"/>
    <w:rsid w:val="009A396A"/>
    <w:rsid w:val="009B14A9"/>
    <w:rsid w:val="009B2E97"/>
    <w:rsid w:val="009B5EA4"/>
    <w:rsid w:val="009C651E"/>
    <w:rsid w:val="009D3556"/>
    <w:rsid w:val="009E07F4"/>
    <w:rsid w:val="009F392E"/>
    <w:rsid w:val="009F39D8"/>
    <w:rsid w:val="00A02EE7"/>
    <w:rsid w:val="00A07644"/>
    <w:rsid w:val="00A52B36"/>
    <w:rsid w:val="00A6177B"/>
    <w:rsid w:val="00A63FD5"/>
    <w:rsid w:val="00A66136"/>
    <w:rsid w:val="00A6738F"/>
    <w:rsid w:val="00A7415E"/>
    <w:rsid w:val="00A76FAB"/>
    <w:rsid w:val="00A9040B"/>
    <w:rsid w:val="00A93EB7"/>
    <w:rsid w:val="00AA4CBB"/>
    <w:rsid w:val="00AA65FA"/>
    <w:rsid w:val="00AA7351"/>
    <w:rsid w:val="00AB53C9"/>
    <w:rsid w:val="00AB6759"/>
    <w:rsid w:val="00AD056F"/>
    <w:rsid w:val="00AD6731"/>
    <w:rsid w:val="00AE0269"/>
    <w:rsid w:val="00AE6F59"/>
    <w:rsid w:val="00AE74AE"/>
    <w:rsid w:val="00AF6ECA"/>
    <w:rsid w:val="00B15D0D"/>
    <w:rsid w:val="00B34A8A"/>
    <w:rsid w:val="00B354A6"/>
    <w:rsid w:val="00B43A37"/>
    <w:rsid w:val="00B66E16"/>
    <w:rsid w:val="00B75EE1"/>
    <w:rsid w:val="00B77481"/>
    <w:rsid w:val="00B8518B"/>
    <w:rsid w:val="00B87FE5"/>
    <w:rsid w:val="00BB184D"/>
    <w:rsid w:val="00BB202D"/>
    <w:rsid w:val="00BC3B69"/>
    <w:rsid w:val="00BD018B"/>
    <w:rsid w:val="00BD7E91"/>
    <w:rsid w:val="00BF5E64"/>
    <w:rsid w:val="00C02D0A"/>
    <w:rsid w:val="00C03A6E"/>
    <w:rsid w:val="00C1460A"/>
    <w:rsid w:val="00C25494"/>
    <w:rsid w:val="00C30FBE"/>
    <w:rsid w:val="00C44F6A"/>
    <w:rsid w:val="00C47AE3"/>
    <w:rsid w:val="00C56BF3"/>
    <w:rsid w:val="00C74DB7"/>
    <w:rsid w:val="00C916C5"/>
    <w:rsid w:val="00CA285D"/>
    <w:rsid w:val="00CD1FC4"/>
    <w:rsid w:val="00CE287A"/>
    <w:rsid w:val="00CF484D"/>
    <w:rsid w:val="00D07EFE"/>
    <w:rsid w:val="00D21061"/>
    <w:rsid w:val="00D2492A"/>
    <w:rsid w:val="00D34E33"/>
    <w:rsid w:val="00D4108E"/>
    <w:rsid w:val="00D45DE0"/>
    <w:rsid w:val="00D6163D"/>
    <w:rsid w:val="00D61CD5"/>
    <w:rsid w:val="00D831A3"/>
    <w:rsid w:val="00D85C5B"/>
    <w:rsid w:val="00D85D44"/>
    <w:rsid w:val="00DB295F"/>
    <w:rsid w:val="00DB5936"/>
    <w:rsid w:val="00DC1D3E"/>
    <w:rsid w:val="00DC75F3"/>
    <w:rsid w:val="00DD46F3"/>
    <w:rsid w:val="00DE21A8"/>
    <w:rsid w:val="00DE56F2"/>
    <w:rsid w:val="00DF116D"/>
    <w:rsid w:val="00DF12E7"/>
    <w:rsid w:val="00E05553"/>
    <w:rsid w:val="00E1459D"/>
    <w:rsid w:val="00E174B0"/>
    <w:rsid w:val="00E2730E"/>
    <w:rsid w:val="00E50126"/>
    <w:rsid w:val="00E64568"/>
    <w:rsid w:val="00E73DA0"/>
    <w:rsid w:val="00EA54A0"/>
    <w:rsid w:val="00EB104F"/>
    <w:rsid w:val="00ED14BD"/>
    <w:rsid w:val="00EF1804"/>
    <w:rsid w:val="00F0533E"/>
    <w:rsid w:val="00F076A0"/>
    <w:rsid w:val="00F1048D"/>
    <w:rsid w:val="00F12DEC"/>
    <w:rsid w:val="00F16BA0"/>
    <w:rsid w:val="00F1715C"/>
    <w:rsid w:val="00F310F8"/>
    <w:rsid w:val="00F35939"/>
    <w:rsid w:val="00F45607"/>
    <w:rsid w:val="00F659EB"/>
    <w:rsid w:val="00F81B99"/>
    <w:rsid w:val="00F86BA6"/>
    <w:rsid w:val="00F969C4"/>
    <w:rsid w:val="00FA7D09"/>
    <w:rsid w:val="00FC6286"/>
    <w:rsid w:val="00FC6389"/>
    <w:rsid w:val="00FE28B2"/>
    <w:rsid w:val="00FF06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C74DB7"/>
    <w:pPr>
      <w:widowControl w:val="0"/>
      <w:numPr>
        <w:ilvl w:val="1"/>
        <w:numId w:val="17"/>
      </w:numPr>
      <w:overflowPunct w:val="0"/>
      <w:autoSpaceDE w:val="0"/>
      <w:autoSpaceDN w:val="0"/>
      <w:adjustRightInd w:val="0"/>
      <w:spacing w:before="60" w:after="60" w:line="240" w:lineRule="auto"/>
      <w:ind w:left="578" w:hanging="578"/>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C74DB7"/>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68341E-9EF9-4FD1-8767-66DD2045C07A}">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3403</Words>
  <Characters>20082</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Bachorková Ivana, Mgr.</cp:lastModifiedBy>
  <cp:revision>24</cp:revision>
  <cp:lastPrinted>2017-11-28T17:18:00Z</cp:lastPrinted>
  <dcterms:created xsi:type="dcterms:W3CDTF">2024-02-01T09:37:00Z</dcterms:created>
  <dcterms:modified xsi:type="dcterms:W3CDTF">2024-02-26T09:14:00Z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