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BCC2DBD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501D6" w:rsidRPr="00AE5630">
        <w:rPr>
          <w:rFonts w:ascii="Verdana" w:hAnsi="Verdana"/>
          <w:b/>
          <w:sz w:val="18"/>
          <w:szCs w:val="18"/>
        </w:rPr>
        <w:t>Obvod OŘ Brno - opravy a údržba bytového fondu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E6B6C">
              <w:rPr>
                <w:rFonts w:ascii="Verdana" w:hAnsi="Verdana" w:cstheme="minorHAnsi"/>
                <w:sz w:val="18"/>
                <w:szCs w:val="18"/>
                <w:highlight w:val="green"/>
              </w:rPr>
              <w:t>NRSP</w:t>
            </w:r>
            <w:r w:rsidR="00E4519B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1ED888B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501D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501D6" w:rsidRPr="009501D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55ED353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501D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501D6" w:rsidRPr="009501D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01D6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81A1E-C314-4AAC-B122-58EB1C2CD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014EB1-2EE5-4EB1-9113-D93681B24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499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Sečkařová Andrea</cp:lastModifiedBy>
  <cp:revision>3</cp:revision>
  <cp:lastPrinted>2018-03-26T11:24:00Z</cp:lastPrinted>
  <dcterms:created xsi:type="dcterms:W3CDTF">2023-06-02T15:11:00Z</dcterms:created>
  <dcterms:modified xsi:type="dcterms:W3CDTF">2024-02-19T06:56:00Z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