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59EA7923" w:rsidR="00EB4ECA" w:rsidRDefault="00EB4ECA" w:rsidP="00EB4ECA">
      <w:pPr>
        <w:pStyle w:val="Titul2"/>
      </w:pPr>
      <w:r w:rsidRPr="006C2343">
        <w:t>Zhotovení</w:t>
      </w:r>
      <w:r w:rsidR="0023203B">
        <w:t xml:space="preserve"> souboru</w:t>
      </w:r>
      <w:r w:rsidRPr="006C2343">
        <w:t xml:space="preserve"> </w:t>
      </w:r>
      <w:proofErr w:type="gramStart"/>
      <w:r w:rsidRPr="006C2343">
        <w:t>stav</w:t>
      </w:r>
      <w:r w:rsidR="00C158E9">
        <w:t>eb</w:t>
      </w:r>
      <w:r>
        <w:t xml:space="preserve"> - podlimitní</w:t>
      </w:r>
      <w:proofErr w:type="gramEnd"/>
    </w:p>
    <w:p w14:paraId="17CC9580" w14:textId="77777777" w:rsidR="0035531B" w:rsidRDefault="0035531B" w:rsidP="00EB46E5">
      <w:pPr>
        <w:pStyle w:val="Titul2"/>
      </w:pPr>
    </w:p>
    <w:p w14:paraId="4B32AAD0" w14:textId="77777777" w:rsidR="0023203B" w:rsidRDefault="0023203B" w:rsidP="0023203B">
      <w:pPr>
        <w:pStyle w:val="Titul2"/>
        <w:numPr>
          <w:ilvl w:val="0"/>
          <w:numId w:val="22"/>
        </w:numPr>
        <w:ind w:left="709"/>
      </w:pPr>
      <w:r w:rsidRPr="00C314FF">
        <w:t xml:space="preserve">„Úprava neutrálních úseků u </w:t>
      </w:r>
      <w:proofErr w:type="spellStart"/>
      <w:r w:rsidRPr="00C314FF">
        <w:t>Sps</w:t>
      </w:r>
      <w:proofErr w:type="spellEnd"/>
      <w:r w:rsidRPr="00C314FF">
        <w:t xml:space="preserve"> Rohatec“</w:t>
      </w:r>
    </w:p>
    <w:p w14:paraId="152849FF" w14:textId="02F6A55E" w:rsidR="00AD0C7B" w:rsidRPr="006C2343" w:rsidRDefault="0023203B" w:rsidP="0023203B">
      <w:pPr>
        <w:pStyle w:val="Titul2"/>
        <w:numPr>
          <w:ilvl w:val="0"/>
          <w:numId w:val="22"/>
        </w:numPr>
        <w:ind w:left="709"/>
      </w:pPr>
      <w:r>
        <w:t xml:space="preserve">„Rekonstrukce DOÚO a DŘT u </w:t>
      </w:r>
      <w:proofErr w:type="spellStart"/>
      <w:r>
        <w:t>Sps</w:t>
      </w:r>
      <w:proofErr w:type="spellEnd"/>
      <w:r>
        <w:t xml:space="preserve"> Rohatec“</w:t>
      </w:r>
    </w:p>
    <w:p w14:paraId="45AB7781" w14:textId="623E1180" w:rsidR="00F46EA7" w:rsidRDefault="00F46EA7" w:rsidP="00F46EA7">
      <w:pPr>
        <w:pStyle w:val="Text1-1"/>
        <w:numPr>
          <w:ilvl w:val="0"/>
          <w:numId w:val="0"/>
        </w:numPr>
        <w:tabs>
          <w:tab w:val="left" w:pos="708"/>
        </w:tabs>
        <w:ind w:left="737" w:hanging="737"/>
      </w:pPr>
      <w:r>
        <w:t xml:space="preserve">Č.j. </w:t>
      </w:r>
      <w:r w:rsidR="00844D49" w:rsidRPr="00844D49">
        <w:t>1674/2024-SŽ-SSV-Ú3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540EA83C"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6909C7">
          <w:rPr>
            <w:noProof/>
            <w:webHidden/>
          </w:rPr>
          <w:t>3</w:t>
        </w:r>
        <w:r w:rsidR="007F2472">
          <w:rPr>
            <w:noProof/>
            <w:webHidden/>
          </w:rPr>
          <w:fldChar w:fldCharType="end"/>
        </w:r>
      </w:hyperlink>
    </w:p>
    <w:p w14:paraId="4FFBBE57" w14:textId="2D1AC1CC" w:rsidR="007F2472" w:rsidRDefault="006909C7">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Pr>
            <w:noProof/>
            <w:webHidden/>
          </w:rPr>
          <w:t>3</w:t>
        </w:r>
        <w:r w:rsidR="007F2472">
          <w:rPr>
            <w:noProof/>
            <w:webHidden/>
          </w:rPr>
          <w:fldChar w:fldCharType="end"/>
        </w:r>
      </w:hyperlink>
    </w:p>
    <w:p w14:paraId="07C1F67C" w14:textId="142131EB" w:rsidR="007F2472" w:rsidRDefault="006909C7">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3719B596" w14:textId="79F7AA30" w:rsidR="007F2472" w:rsidRDefault="006909C7">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7057FA5B" w14:textId="5EE0988E" w:rsidR="007F2472" w:rsidRDefault="006909C7">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7A2C5E1B" w14:textId="3D716259" w:rsidR="007F2472" w:rsidRDefault="006909C7">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13232520" w14:textId="684D6932" w:rsidR="007F2472" w:rsidRDefault="006909C7">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Pr>
            <w:noProof/>
            <w:webHidden/>
          </w:rPr>
          <w:t>6</w:t>
        </w:r>
        <w:r w:rsidR="007F2472">
          <w:rPr>
            <w:noProof/>
            <w:webHidden/>
          </w:rPr>
          <w:fldChar w:fldCharType="end"/>
        </w:r>
      </w:hyperlink>
    </w:p>
    <w:p w14:paraId="46540515" w14:textId="5E3F8250" w:rsidR="007F2472" w:rsidRDefault="006909C7">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Pr>
            <w:noProof/>
            <w:webHidden/>
          </w:rPr>
          <w:t>6</w:t>
        </w:r>
        <w:r w:rsidR="007F2472">
          <w:rPr>
            <w:noProof/>
            <w:webHidden/>
          </w:rPr>
          <w:fldChar w:fldCharType="end"/>
        </w:r>
      </w:hyperlink>
    </w:p>
    <w:p w14:paraId="2053C2E8" w14:textId="032F46D6" w:rsidR="007F2472" w:rsidRDefault="006909C7">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Pr>
            <w:noProof/>
            <w:webHidden/>
          </w:rPr>
          <w:t>17</w:t>
        </w:r>
        <w:r w:rsidR="007F2472">
          <w:rPr>
            <w:noProof/>
            <w:webHidden/>
          </w:rPr>
          <w:fldChar w:fldCharType="end"/>
        </w:r>
      </w:hyperlink>
    </w:p>
    <w:p w14:paraId="486914AC" w14:textId="40687CC2" w:rsidR="007F2472" w:rsidRDefault="006909C7">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Pr>
            <w:noProof/>
            <w:webHidden/>
          </w:rPr>
          <w:t>20</w:t>
        </w:r>
        <w:r w:rsidR="007F2472">
          <w:rPr>
            <w:noProof/>
            <w:webHidden/>
          </w:rPr>
          <w:fldChar w:fldCharType="end"/>
        </w:r>
      </w:hyperlink>
    </w:p>
    <w:p w14:paraId="024AF4E3" w14:textId="6E161465" w:rsidR="007F2472" w:rsidRDefault="006909C7">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Pr>
            <w:noProof/>
            <w:webHidden/>
          </w:rPr>
          <w:t>20</w:t>
        </w:r>
        <w:r w:rsidR="007F2472">
          <w:rPr>
            <w:noProof/>
            <w:webHidden/>
          </w:rPr>
          <w:fldChar w:fldCharType="end"/>
        </w:r>
      </w:hyperlink>
    </w:p>
    <w:p w14:paraId="10A1593F" w14:textId="468233E9" w:rsidR="007F2472" w:rsidRDefault="006909C7">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Pr>
            <w:noProof/>
            <w:webHidden/>
          </w:rPr>
          <w:t>21</w:t>
        </w:r>
        <w:r w:rsidR="007F2472">
          <w:rPr>
            <w:noProof/>
            <w:webHidden/>
          </w:rPr>
          <w:fldChar w:fldCharType="end"/>
        </w:r>
      </w:hyperlink>
    </w:p>
    <w:p w14:paraId="18E982E2" w14:textId="1C053F20" w:rsidR="007F2472" w:rsidRDefault="006909C7">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514EDD09" w14:textId="6CD58F5C" w:rsidR="007F2472" w:rsidRDefault="006909C7">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5982804E" w14:textId="3CAE3B2E" w:rsidR="007F2472" w:rsidRDefault="006909C7">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Pr>
            <w:noProof/>
            <w:webHidden/>
          </w:rPr>
          <w:t>24</w:t>
        </w:r>
        <w:r w:rsidR="007F2472">
          <w:rPr>
            <w:noProof/>
            <w:webHidden/>
          </w:rPr>
          <w:fldChar w:fldCharType="end"/>
        </w:r>
      </w:hyperlink>
    </w:p>
    <w:p w14:paraId="7E810899" w14:textId="2B13E970" w:rsidR="007F2472" w:rsidRDefault="006909C7">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Pr>
            <w:noProof/>
            <w:webHidden/>
          </w:rPr>
          <w:t>24</w:t>
        </w:r>
        <w:r w:rsidR="007F2472">
          <w:rPr>
            <w:noProof/>
            <w:webHidden/>
          </w:rPr>
          <w:fldChar w:fldCharType="end"/>
        </w:r>
      </w:hyperlink>
    </w:p>
    <w:p w14:paraId="3733D4BC" w14:textId="374A5236" w:rsidR="007F2472" w:rsidRDefault="006909C7">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Pr>
            <w:noProof/>
            <w:webHidden/>
          </w:rPr>
          <w:t>25</w:t>
        </w:r>
        <w:r w:rsidR="007F2472">
          <w:rPr>
            <w:noProof/>
            <w:webHidden/>
          </w:rPr>
          <w:fldChar w:fldCharType="end"/>
        </w:r>
      </w:hyperlink>
    </w:p>
    <w:p w14:paraId="5A751393" w14:textId="0164A033" w:rsidR="007F2472" w:rsidRDefault="006909C7">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Pr>
            <w:noProof/>
            <w:webHidden/>
          </w:rPr>
          <w:t>26</w:t>
        </w:r>
        <w:r w:rsidR="007F2472">
          <w:rPr>
            <w:noProof/>
            <w:webHidden/>
          </w:rPr>
          <w:fldChar w:fldCharType="end"/>
        </w:r>
      </w:hyperlink>
    </w:p>
    <w:p w14:paraId="587CE217" w14:textId="394388CB" w:rsidR="007F2472" w:rsidRDefault="006909C7">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Pr>
            <w:noProof/>
            <w:webHidden/>
          </w:rPr>
          <w:t>26</w:t>
        </w:r>
        <w:r w:rsidR="007F2472">
          <w:rPr>
            <w:noProof/>
            <w:webHidden/>
          </w:rPr>
          <w:fldChar w:fldCharType="end"/>
        </w:r>
      </w:hyperlink>
    </w:p>
    <w:p w14:paraId="49FA7794" w14:textId="31182329" w:rsidR="007F2472" w:rsidRDefault="006909C7">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Pr>
            <w:noProof/>
            <w:webHidden/>
          </w:rPr>
          <w:t>29</w:t>
        </w:r>
        <w:r w:rsidR="007F2472">
          <w:rPr>
            <w:noProof/>
            <w:webHidden/>
          </w:rPr>
          <w:fldChar w:fldCharType="end"/>
        </w:r>
      </w:hyperlink>
    </w:p>
    <w:p w14:paraId="28CA3FD6" w14:textId="3E17B8C3" w:rsidR="007F2472" w:rsidRDefault="006909C7">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Pr>
            <w:noProof/>
            <w:webHidden/>
          </w:rPr>
          <w:t>29</w:t>
        </w:r>
        <w:r w:rsidR="007F2472">
          <w:rPr>
            <w:noProof/>
            <w:webHidden/>
          </w:rPr>
          <w:fldChar w:fldCharType="end"/>
        </w:r>
      </w:hyperlink>
    </w:p>
    <w:p w14:paraId="71FFAAC3" w14:textId="429BB201" w:rsidR="007F2472" w:rsidRDefault="006909C7">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Pr>
            <w:noProof/>
            <w:webHidden/>
          </w:rPr>
          <w:t>29</w:t>
        </w:r>
        <w:r w:rsidR="007F2472">
          <w:rPr>
            <w:noProof/>
            <w:webHidden/>
          </w:rPr>
          <w:fldChar w:fldCharType="end"/>
        </w:r>
      </w:hyperlink>
    </w:p>
    <w:p w14:paraId="7846F99E" w14:textId="6AC3CF8F" w:rsidR="007F2472" w:rsidRDefault="006909C7">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Pr>
            <w:noProof/>
            <w:webHidden/>
          </w:rPr>
          <w:t>31</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31F6C74A" w:rsidR="00DD7A41" w:rsidRPr="0023203B" w:rsidRDefault="00DD7A41" w:rsidP="0023203B">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A46EE6E" w:rsidR="0035531B" w:rsidRDefault="0035531B" w:rsidP="0017286F">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58380788"/>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E106484" w:rsidR="0035531B" w:rsidRDefault="0035531B" w:rsidP="0035531B">
      <w:pPr>
        <w:pStyle w:val="Text1-1"/>
      </w:pPr>
      <w:r>
        <w:t xml:space="preserve">Kontaktní osobou zadavatele pro </w:t>
      </w:r>
      <w:r w:rsidR="009531C1">
        <w:t xml:space="preserve">výběrové </w:t>
      </w:r>
      <w:r>
        <w:t xml:space="preserve">řízení je: </w:t>
      </w:r>
      <w:r w:rsidR="0017286F">
        <w:t>Ing. Kamila Přerovská</w:t>
      </w:r>
    </w:p>
    <w:p w14:paraId="6304B547" w14:textId="0045ECBC" w:rsidR="0035531B" w:rsidRDefault="0035531B" w:rsidP="0035531B">
      <w:pPr>
        <w:pStyle w:val="Textbezslovn"/>
        <w:spacing w:after="0"/>
      </w:pPr>
      <w:r>
        <w:t xml:space="preserve">telefon: </w:t>
      </w:r>
      <w:r>
        <w:tab/>
      </w:r>
      <w:r w:rsidR="0017286F">
        <w:t>+420 702 164 086</w:t>
      </w:r>
    </w:p>
    <w:p w14:paraId="46AB406E" w14:textId="79B499F2" w:rsidR="0035531B" w:rsidRDefault="0035531B" w:rsidP="0035531B">
      <w:pPr>
        <w:pStyle w:val="Textbezslovn"/>
        <w:spacing w:after="0"/>
      </w:pPr>
      <w:r>
        <w:t xml:space="preserve">e-mail: </w:t>
      </w:r>
      <w:r>
        <w:tab/>
      </w:r>
      <w:hyperlink r:id="rId13" w:history="1">
        <w:r w:rsidR="0017286F" w:rsidRPr="00373F08">
          <w:rPr>
            <w:rStyle w:val="Hypertextovodkaz"/>
            <w:noProof w:val="0"/>
          </w:rPr>
          <w:t>Prerovska@spravazeleznic.cz</w:t>
        </w:r>
      </w:hyperlink>
      <w:r w:rsidR="0017286F">
        <w:t xml:space="preserve"> </w:t>
      </w:r>
    </w:p>
    <w:p w14:paraId="32D39B6C" w14:textId="48349057" w:rsidR="0035531B" w:rsidRDefault="0035531B" w:rsidP="0017286F">
      <w:pPr>
        <w:pStyle w:val="Textbezslovn"/>
        <w:ind w:left="2127" w:hanging="1390"/>
      </w:pPr>
      <w:r>
        <w:t xml:space="preserve">adresa: </w:t>
      </w:r>
      <w:r>
        <w:tab/>
      </w:r>
      <w:r w:rsidR="0017286F">
        <w:t>Správa železnic, státní organizace, Stavební správa východ, Nerudova 1, 779 00 Olomouc</w:t>
      </w:r>
    </w:p>
    <w:p w14:paraId="7AFE4171" w14:textId="77777777"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10332360" w14:textId="0D7EF6F2" w:rsidR="0017286F" w:rsidRPr="00B464A4" w:rsidRDefault="0017286F" w:rsidP="0017286F">
      <w:pPr>
        <w:tabs>
          <w:tab w:val="num" w:pos="737"/>
        </w:tabs>
        <w:autoSpaceDE w:val="0"/>
        <w:autoSpaceDN w:val="0"/>
        <w:spacing w:after="0" w:line="240" w:lineRule="auto"/>
        <w:ind w:left="709"/>
        <w:jc w:val="both"/>
        <w:rPr>
          <w:rFonts w:eastAsia="Times New Roman" w:cs="Arial"/>
          <w:lang w:eastAsia="cs-CZ"/>
        </w:rPr>
      </w:pPr>
      <w:r w:rsidRPr="00B464A4">
        <w:rPr>
          <w:rFonts w:eastAsia="Times New Roman" w:cs="Arial"/>
          <w:lang w:eastAsia="cs-CZ"/>
        </w:rPr>
        <w:t>Cílem díla je vybudování nových neutrálních polí, vždy v obou kolejích, a to jako dělené neutrální pole složené ze tří elektrických dělení dle metodického pokynu k projektování neutrálních úseků oddělení fází a soustav na síti SŽ čj. S 26499/2018-SŽDC-GŘ</w:t>
      </w:r>
      <w:r>
        <w:rPr>
          <w:rFonts w:eastAsia="Times New Roman" w:cs="Arial"/>
          <w:lang w:eastAsia="cs-CZ"/>
        </w:rPr>
        <w:t>-024,</w:t>
      </w:r>
    </w:p>
    <w:p w14:paraId="2CA9CFD0" w14:textId="14E0DF30" w:rsidR="0035531B" w:rsidRDefault="0017286F" w:rsidP="0017286F">
      <w:pPr>
        <w:pStyle w:val="Textbezslovn"/>
      </w:pPr>
      <w:r>
        <w:rPr>
          <w:rFonts w:eastAsia="Times New Roman" w:cs="Arial"/>
          <w:lang w:eastAsia="cs-CZ"/>
        </w:rPr>
        <w:t>návazně úprava DOÚO a DŘT.</w:t>
      </w:r>
    </w:p>
    <w:p w14:paraId="09962EBD" w14:textId="77777777" w:rsidR="0035531B" w:rsidRDefault="0035531B" w:rsidP="0035531B">
      <w:pPr>
        <w:pStyle w:val="Text1-1"/>
      </w:pPr>
      <w:r>
        <w:t>Předmět plnění veřejné zakázky</w:t>
      </w:r>
    </w:p>
    <w:p w14:paraId="31CEE8CF" w14:textId="2323B755" w:rsidR="0017286F" w:rsidRPr="0017286F" w:rsidRDefault="0017286F" w:rsidP="0017286F">
      <w:pPr>
        <w:pStyle w:val="Textbezslovn"/>
      </w:pPr>
      <w:r w:rsidRPr="0017286F">
        <w:rPr>
          <w:rFonts w:eastAsia="Times New Roman" w:cs="Arial"/>
          <w:bCs/>
          <w:iCs/>
          <w:lang w:eastAsia="cs-CZ"/>
        </w:rPr>
        <w:t>Předmětem veřejné zakázky je zajištění realizace souboru staveb pod názvem 1) „</w:t>
      </w:r>
      <w:r w:rsidRPr="0017286F">
        <w:rPr>
          <w:rStyle w:val="Nadpisvtabulce"/>
          <w:b w:val="0"/>
        </w:rPr>
        <w:t xml:space="preserve">Úprava neutrálních úseků u </w:t>
      </w:r>
      <w:proofErr w:type="spellStart"/>
      <w:r w:rsidRPr="0017286F">
        <w:rPr>
          <w:rStyle w:val="Nadpisvtabulce"/>
          <w:b w:val="0"/>
        </w:rPr>
        <w:t>Sps</w:t>
      </w:r>
      <w:proofErr w:type="spellEnd"/>
      <w:r w:rsidRPr="0017286F">
        <w:rPr>
          <w:rStyle w:val="Nadpisvtabulce"/>
          <w:b w:val="0"/>
        </w:rPr>
        <w:t xml:space="preserve"> Rohatec“ </w:t>
      </w:r>
      <w:r w:rsidR="003D5434">
        <w:rPr>
          <w:rStyle w:val="Nadpisvtabulce"/>
          <w:b w:val="0"/>
        </w:rPr>
        <w:t xml:space="preserve">(dále je taktéž „stavba 1“) </w:t>
      </w:r>
      <w:r w:rsidRPr="0017286F">
        <w:rPr>
          <w:rStyle w:val="Nadpisvtabulce"/>
          <w:b w:val="0"/>
        </w:rPr>
        <w:t xml:space="preserve">a 2) „Rekonstrukce DOÚO a DŘT u </w:t>
      </w:r>
      <w:proofErr w:type="spellStart"/>
      <w:r w:rsidRPr="0017286F">
        <w:rPr>
          <w:rStyle w:val="Nadpisvtabulce"/>
          <w:b w:val="0"/>
        </w:rPr>
        <w:t>Sps</w:t>
      </w:r>
      <w:proofErr w:type="spellEnd"/>
      <w:r w:rsidRPr="0017286F">
        <w:rPr>
          <w:rStyle w:val="Nadpisvtabulce"/>
          <w:b w:val="0"/>
        </w:rPr>
        <w:t xml:space="preserve"> Rohatec“</w:t>
      </w:r>
      <w:r w:rsidR="003D5434">
        <w:rPr>
          <w:rStyle w:val="Nadpisvtabulce"/>
          <w:b w:val="0"/>
        </w:rPr>
        <w:t xml:space="preserve"> (dále jen taktéž „stavba 2“)</w:t>
      </w:r>
      <w:r w:rsidRPr="0017286F">
        <w:rPr>
          <w:rStyle w:val="Nadpisvtabulce"/>
          <w:b w:val="0"/>
        </w:rPr>
        <w:t>.</w:t>
      </w:r>
    </w:p>
    <w:p w14:paraId="7987DD47" w14:textId="55492364" w:rsidR="0017286F" w:rsidRPr="0017286F" w:rsidRDefault="0017286F" w:rsidP="0017286F">
      <w:pPr>
        <w:pStyle w:val="Odstavecseseznamem"/>
        <w:numPr>
          <w:ilvl w:val="0"/>
          <w:numId w:val="24"/>
        </w:numPr>
        <w:spacing w:after="0" w:line="240" w:lineRule="auto"/>
        <w:rPr>
          <w:rFonts w:eastAsia="Times New Roman" w:cs="Arial"/>
          <w:b/>
          <w:bCs/>
          <w:iCs/>
          <w:lang w:eastAsia="cs-CZ"/>
        </w:rPr>
      </w:pPr>
      <w:r w:rsidRPr="0017286F">
        <w:rPr>
          <w:rFonts w:eastAsia="Times New Roman" w:cs="Arial"/>
          <w:bCs/>
          <w:iCs/>
          <w:lang w:eastAsia="cs-CZ"/>
        </w:rPr>
        <w:t>„</w:t>
      </w:r>
      <w:r w:rsidRPr="0017286F">
        <w:rPr>
          <w:rStyle w:val="Nadpisvtabulce"/>
        </w:rPr>
        <w:t xml:space="preserve">Úprava neutrálních úseků u </w:t>
      </w:r>
      <w:proofErr w:type="spellStart"/>
      <w:r w:rsidRPr="0017286F">
        <w:rPr>
          <w:rStyle w:val="Nadpisvtabulce"/>
        </w:rPr>
        <w:t>Sps</w:t>
      </w:r>
      <w:proofErr w:type="spellEnd"/>
      <w:r w:rsidRPr="0017286F">
        <w:rPr>
          <w:rStyle w:val="Nadpisvtabulce"/>
        </w:rPr>
        <w:t xml:space="preserve"> Rohatec“</w:t>
      </w:r>
    </w:p>
    <w:p w14:paraId="6C40E2A7" w14:textId="2C8348D4" w:rsidR="0017286F" w:rsidRPr="0017286F" w:rsidRDefault="0017286F" w:rsidP="0017286F">
      <w:pPr>
        <w:pStyle w:val="Default"/>
        <w:ind w:left="709"/>
        <w:jc w:val="both"/>
        <w:rPr>
          <w:rFonts w:asciiTheme="minorHAnsi" w:hAnsiTheme="minorHAnsi"/>
          <w:color w:val="auto"/>
          <w:sz w:val="18"/>
          <w:szCs w:val="18"/>
        </w:rPr>
      </w:pPr>
      <w:r w:rsidRPr="0017286F">
        <w:rPr>
          <w:rFonts w:asciiTheme="minorHAnsi" w:hAnsiTheme="minorHAnsi"/>
          <w:color w:val="auto"/>
          <w:sz w:val="18"/>
          <w:szCs w:val="18"/>
        </w:rPr>
        <w:t>Stavba neutrálních úseků obou kolejí se nachází v místě připojení, v bezprostřední blízkosti budovy a plochy s technologickým zařízením spínací stanice v Rohatci.</w:t>
      </w:r>
    </w:p>
    <w:p w14:paraId="1044163C" w14:textId="77777777" w:rsidR="0017286F" w:rsidRPr="0017286F" w:rsidRDefault="0017286F" w:rsidP="0017286F">
      <w:pPr>
        <w:pStyle w:val="Default"/>
        <w:ind w:left="709"/>
        <w:jc w:val="both"/>
        <w:rPr>
          <w:rFonts w:asciiTheme="minorHAnsi" w:hAnsiTheme="minorHAnsi"/>
          <w:color w:val="auto"/>
          <w:sz w:val="18"/>
          <w:szCs w:val="18"/>
        </w:rPr>
      </w:pPr>
      <w:r w:rsidRPr="0017286F">
        <w:rPr>
          <w:rFonts w:asciiTheme="minorHAnsi" w:hAnsiTheme="minorHAnsi"/>
          <w:color w:val="auto"/>
          <w:sz w:val="18"/>
          <w:szCs w:val="18"/>
        </w:rPr>
        <w:t>Jedná o stavební úpravy stávající stavby dráhy. Stavba zahrnuje vybudování nových neutrálních polí, vždy v obou kolejích, a to jako dělené neutrální pole složené ze tří elektrických dělení.</w:t>
      </w:r>
    </w:p>
    <w:p w14:paraId="1F15AF20" w14:textId="77777777" w:rsidR="0017286F" w:rsidRPr="0017286F" w:rsidRDefault="0017286F" w:rsidP="0017286F">
      <w:pPr>
        <w:pStyle w:val="Default"/>
        <w:ind w:left="709"/>
        <w:jc w:val="both"/>
        <w:rPr>
          <w:rFonts w:asciiTheme="minorHAnsi" w:hAnsiTheme="minorHAnsi"/>
          <w:color w:val="auto"/>
          <w:sz w:val="18"/>
          <w:szCs w:val="18"/>
        </w:rPr>
      </w:pPr>
      <w:r w:rsidRPr="0017286F">
        <w:rPr>
          <w:rFonts w:asciiTheme="minorHAnsi" w:hAnsiTheme="minorHAnsi"/>
          <w:color w:val="auto"/>
          <w:sz w:val="18"/>
          <w:szCs w:val="18"/>
        </w:rPr>
        <w:t>Neutrální pole je umístěno v místě připojení spínací stanice na TV obou kolejí, vybudované při elektrizaci v letech 1983-1985. Neutrální pole jsou složena ze dvou ÚD ÚDT 25kV. Podélné překlenutí a propojení neutrálních polí je zajištěno příslušnými ÚO.</w:t>
      </w:r>
    </w:p>
    <w:p w14:paraId="1DEC225D" w14:textId="77777777" w:rsidR="0017286F" w:rsidRPr="0017286F" w:rsidRDefault="0017286F" w:rsidP="0017286F">
      <w:pPr>
        <w:pStyle w:val="Default"/>
        <w:ind w:left="709"/>
        <w:jc w:val="both"/>
        <w:rPr>
          <w:rFonts w:asciiTheme="minorHAnsi" w:hAnsiTheme="minorHAnsi"/>
          <w:color w:val="auto"/>
          <w:sz w:val="18"/>
          <w:szCs w:val="18"/>
        </w:rPr>
      </w:pPr>
      <w:r w:rsidRPr="0017286F">
        <w:rPr>
          <w:rFonts w:asciiTheme="minorHAnsi" w:hAnsiTheme="minorHAnsi"/>
          <w:color w:val="auto"/>
          <w:sz w:val="18"/>
          <w:szCs w:val="18"/>
        </w:rPr>
        <w:t xml:space="preserve">Stavební úpravy se týkají stávajícího systému trakčního vedení, při kterém dojde pouze k nejnutnějším stavebním </w:t>
      </w:r>
      <w:proofErr w:type="gramStart"/>
      <w:r w:rsidRPr="0017286F">
        <w:rPr>
          <w:rFonts w:asciiTheme="minorHAnsi" w:hAnsiTheme="minorHAnsi"/>
          <w:color w:val="auto"/>
          <w:sz w:val="18"/>
          <w:szCs w:val="18"/>
        </w:rPr>
        <w:t>úpravám - přestavba</w:t>
      </w:r>
      <w:proofErr w:type="gramEnd"/>
      <w:r w:rsidRPr="0017286F">
        <w:rPr>
          <w:rFonts w:asciiTheme="minorHAnsi" w:hAnsiTheme="minorHAnsi"/>
          <w:color w:val="auto"/>
          <w:sz w:val="18"/>
          <w:szCs w:val="18"/>
        </w:rPr>
        <w:t xml:space="preserve"> stávajících stožárů, kde bude v maximální možné míře využito původních stožárů (rozsah zůstává stejný, nebude navýšen jejich počet). V montážní části budou vyměněna pohyblivá a pevná kotvení, závěsy TV, bude provedena úprava systémů TV (troleje a nosných lan) – výměna kotevních úseků, pevných bodů, doplnění izolací, návěstí na stožáry TV, regulace TV, doplnění nových úsekových odpojovačů a omezovačů přepětí, děličů, montáž nových napájecích </w:t>
      </w:r>
      <w:proofErr w:type="spellStart"/>
      <w:r w:rsidRPr="0017286F">
        <w:rPr>
          <w:rFonts w:asciiTheme="minorHAnsi" w:hAnsiTheme="minorHAnsi"/>
          <w:color w:val="auto"/>
          <w:sz w:val="18"/>
          <w:szCs w:val="18"/>
        </w:rPr>
        <w:t>převěsů</w:t>
      </w:r>
      <w:proofErr w:type="spellEnd"/>
      <w:r w:rsidRPr="0017286F">
        <w:rPr>
          <w:rFonts w:asciiTheme="minorHAnsi" w:hAnsiTheme="minorHAnsi"/>
          <w:color w:val="auto"/>
          <w:sz w:val="18"/>
          <w:szCs w:val="18"/>
        </w:rPr>
        <w:t xml:space="preserve"> a připojení do spínací stanice a úprava ukolejnění.</w:t>
      </w:r>
    </w:p>
    <w:p w14:paraId="06EF050F" w14:textId="77777777" w:rsidR="0017286F" w:rsidRPr="0017286F" w:rsidRDefault="0017286F" w:rsidP="0017286F">
      <w:pPr>
        <w:spacing w:after="0" w:line="240" w:lineRule="auto"/>
        <w:jc w:val="both"/>
        <w:rPr>
          <w:rFonts w:eastAsia="Times New Roman" w:cs="Arial"/>
          <w:bCs/>
          <w:iCs/>
          <w:lang w:eastAsia="cs-CZ"/>
        </w:rPr>
      </w:pPr>
    </w:p>
    <w:p w14:paraId="1AA1B790" w14:textId="210958AB" w:rsidR="0017286F" w:rsidRPr="0017286F" w:rsidRDefault="0017286F" w:rsidP="0017286F">
      <w:pPr>
        <w:pStyle w:val="Odstavecseseznamem"/>
        <w:numPr>
          <w:ilvl w:val="0"/>
          <w:numId w:val="24"/>
        </w:numPr>
        <w:spacing w:after="0" w:line="240" w:lineRule="auto"/>
        <w:jc w:val="both"/>
        <w:rPr>
          <w:rFonts w:eastAsia="Times New Roman" w:cs="Arial"/>
          <w:bCs/>
          <w:iCs/>
          <w:lang w:eastAsia="cs-CZ"/>
        </w:rPr>
      </w:pPr>
      <w:r w:rsidRPr="0017286F">
        <w:rPr>
          <w:rStyle w:val="Nadpisvtabulce"/>
        </w:rPr>
        <w:t xml:space="preserve">„Rekonstrukce DOÚO a DŘT u </w:t>
      </w:r>
      <w:proofErr w:type="spellStart"/>
      <w:r w:rsidRPr="0017286F">
        <w:rPr>
          <w:rStyle w:val="Nadpisvtabulce"/>
        </w:rPr>
        <w:t>Sps</w:t>
      </w:r>
      <w:proofErr w:type="spellEnd"/>
      <w:r w:rsidRPr="0017286F">
        <w:rPr>
          <w:rStyle w:val="Nadpisvtabulce"/>
        </w:rPr>
        <w:t xml:space="preserve"> Rohatec“</w:t>
      </w:r>
    </w:p>
    <w:p w14:paraId="490BE21C" w14:textId="438DC7AE" w:rsidR="0017286F" w:rsidRPr="0017286F" w:rsidRDefault="0017286F" w:rsidP="0017286F">
      <w:pPr>
        <w:spacing w:after="0" w:line="240" w:lineRule="auto"/>
        <w:ind w:left="709"/>
        <w:jc w:val="both"/>
        <w:rPr>
          <w:rFonts w:eastAsia="Times New Roman" w:cs="Arial"/>
          <w:bCs/>
          <w:iCs/>
          <w:lang w:eastAsia="cs-CZ"/>
        </w:rPr>
      </w:pPr>
      <w:r w:rsidRPr="0017286F">
        <w:rPr>
          <w:rFonts w:eastAsia="Times New Roman" w:cs="Arial"/>
          <w:bCs/>
          <w:iCs/>
          <w:lang w:eastAsia="cs-CZ"/>
        </w:rPr>
        <w:t>Stavba neutrálních úseků obou kolejí se nachází v místě připojení, v bezprostřední blízkosti budovy a plochy s technologickým zařízením spínací stanice v Rohatci.</w:t>
      </w:r>
    </w:p>
    <w:p w14:paraId="67EE1AFF" w14:textId="77777777" w:rsidR="0017286F" w:rsidRPr="0017286F" w:rsidRDefault="0017286F" w:rsidP="0017286F">
      <w:pPr>
        <w:spacing w:after="0" w:line="240" w:lineRule="auto"/>
        <w:ind w:left="709"/>
        <w:jc w:val="both"/>
        <w:rPr>
          <w:rFonts w:eastAsia="Times New Roman" w:cs="Arial"/>
          <w:bCs/>
          <w:iCs/>
          <w:lang w:eastAsia="cs-CZ"/>
        </w:rPr>
      </w:pPr>
      <w:r w:rsidRPr="0017286F">
        <w:rPr>
          <w:rFonts w:eastAsia="Times New Roman" w:cs="Arial"/>
          <w:bCs/>
          <w:iCs/>
          <w:lang w:eastAsia="cs-CZ"/>
        </w:rPr>
        <w:t xml:space="preserve">Podle předložené projektové dokumentace se jedná o nezbytné úpravy stávajících technologií Sdělovací zařízení, DŘT a souvisejících úprav DOÚO v závislosti na vybudování neutrálních úseků ve stavbě „Úprava neutrálních úseků u </w:t>
      </w:r>
      <w:proofErr w:type="spellStart"/>
      <w:r w:rsidRPr="0017286F">
        <w:rPr>
          <w:rFonts w:eastAsia="Times New Roman" w:cs="Arial"/>
          <w:bCs/>
          <w:iCs/>
          <w:lang w:eastAsia="cs-CZ"/>
        </w:rPr>
        <w:t>Sps</w:t>
      </w:r>
      <w:proofErr w:type="spellEnd"/>
      <w:r w:rsidRPr="0017286F">
        <w:rPr>
          <w:rFonts w:eastAsia="Times New Roman" w:cs="Arial"/>
          <w:bCs/>
          <w:iCs/>
          <w:lang w:eastAsia="cs-CZ"/>
        </w:rPr>
        <w:t xml:space="preserve"> Rohatec“ a dále modernizace napojení spínací stanice na Elektro dispečink Brno.</w:t>
      </w:r>
    </w:p>
    <w:p w14:paraId="3F95D8A8" w14:textId="348E85C6" w:rsidR="001E1A3D" w:rsidRDefault="0017286F" w:rsidP="0017286F">
      <w:pPr>
        <w:pStyle w:val="Textbezslovn"/>
        <w:ind w:hanging="28"/>
      </w:pPr>
      <w:r w:rsidRPr="0017286F">
        <w:rPr>
          <w:rFonts w:eastAsia="Times New Roman" w:cs="Arial"/>
          <w:bCs/>
          <w:iCs/>
          <w:lang w:eastAsia="cs-CZ"/>
        </w:rPr>
        <w:lastRenderedPageBreak/>
        <w:t>V rámci stavby bude provedena kompletní výměna telemechanických jednotek RTU za nový typ a přepojení</w:t>
      </w:r>
      <w:r w:rsidRPr="00E821E3">
        <w:rPr>
          <w:rFonts w:eastAsia="Times New Roman" w:cs="Arial"/>
          <w:bCs/>
          <w:iCs/>
          <w:lang w:eastAsia="cs-CZ"/>
        </w:rPr>
        <w:t xml:space="preserve"> na TDS. Na ED v Brně-Maloměřicích bude provedena nutná obnova starých terminálových serverů a pracovních stanic v návaznosti na technologii </w:t>
      </w:r>
      <w:r>
        <w:rPr>
          <w:rFonts w:eastAsia="Times New Roman" w:cs="Arial"/>
          <w:bCs/>
          <w:iCs/>
          <w:lang w:eastAsia="cs-CZ"/>
        </w:rPr>
        <w:t>ASDŘ a doplnění ří</w:t>
      </w:r>
      <w:r w:rsidRPr="00E821E3">
        <w:rPr>
          <w:rFonts w:eastAsia="Times New Roman" w:cs="Arial"/>
          <w:bCs/>
          <w:iCs/>
          <w:lang w:eastAsia="cs-CZ"/>
        </w:rPr>
        <w:t>dícího systému.</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Pr="0017286F" w:rsidRDefault="0035531B" w:rsidP="0035531B">
      <w:pPr>
        <w:pStyle w:val="Text1-1"/>
      </w:pPr>
      <w:r w:rsidRPr="0017286F">
        <w:t>Klasifikace předmětu veřejné zakázky</w:t>
      </w:r>
    </w:p>
    <w:p w14:paraId="7160C32B" w14:textId="77777777" w:rsidR="0035531B" w:rsidRPr="0017286F" w:rsidRDefault="0035531B" w:rsidP="006F6B09">
      <w:pPr>
        <w:pStyle w:val="Textbezslovn"/>
        <w:spacing w:after="0"/>
      </w:pPr>
      <w:r w:rsidRPr="0017286F">
        <w:t xml:space="preserve">CPV </w:t>
      </w:r>
      <w:proofErr w:type="gramStart"/>
      <w:r w:rsidRPr="0017286F">
        <w:t>kód  45234110</w:t>
      </w:r>
      <w:proofErr w:type="gramEnd"/>
      <w:r w:rsidRPr="0017286F">
        <w:t>-0 Výstavba meziměstských železničních drah</w:t>
      </w:r>
    </w:p>
    <w:p w14:paraId="542B6503" w14:textId="77777777" w:rsidR="007C21AA" w:rsidRDefault="00F0634D" w:rsidP="00F0634D">
      <w:pPr>
        <w:pStyle w:val="Textbezslovn"/>
        <w:spacing w:after="0"/>
      </w:pPr>
      <w:r w:rsidRPr="0017286F">
        <w:t xml:space="preserve">CPV </w:t>
      </w:r>
      <w:proofErr w:type="gramStart"/>
      <w:r w:rsidRPr="0017286F">
        <w:t>kód  45231400</w:t>
      </w:r>
      <w:proofErr w:type="gramEnd"/>
      <w:r w:rsidRPr="0017286F">
        <w:t>-9 Stavební práce pro elektrické vedení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838079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632C9BF"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2BF3FD0" w:rsidR="007354E9" w:rsidRDefault="007354E9" w:rsidP="00337143">
      <w:pPr>
        <w:pStyle w:val="Text1-1"/>
        <w:spacing w:after="0"/>
      </w:pPr>
      <w:r w:rsidRPr="004F70A1">
        <w:t xml:space="preserve">Předpokládaná hodnota veřejné zakázky činí </w:t>
      </w:r>
      <w:r w:rsidR="003D5434" w:rsidRPr="003D5434">
        <w:rPr>
          <w:b/>
          <w:bCs/>
        </w:rPr>
        <w:t>49 583 057,-</w:t>
      </w:r>
      <w:r w:rsidRPr="007354E9">
        <w:rPr>
          <w:b/>
        </w:rPr>
        <w:t xml:space="preserve"> Kč </w:t>
      </w:r>
      <w:r w:rsidRPr="004F70A1">
        <w:t>(bez DPH).</w:t>
      </w:r>
    </w:p>
    <w:p w14:paraId="1B60C222" w14:textId="0687805E" w:rsidR="003D5434" w:rsidRDefault="003D5434" w:rsidP="003D5434">
      <w:pPr>
        <w:pStyle w:val="Text1-1"/>
        <w:numPr>
          <w:ilvl w:val="0"/>
          <w:numId w:val="25"/>
        </w:numPr>
        <w:spacing w:after="0"/>
        <w:ind w:left="1276"/>
      </w:pPr>
      <w:r>
        <w:t>Předpokládaná hodnota pro stavbu 1 činí 35 745 201,- Kč (bez DPH).</w:t>
      </w:r>
    </w:p>
    <w:p w14:paraId="45CB2DFB" w14:textId="27D79B55" w:rsidR="003D5434" w:rsidRDefault="003D5434" w:rsidP="003D5434">
      <w:pPr>
        <w:pStyle w:val="Text1-1"/>
        <w:numPr>
          <w:ilvl w:val="0"/>
          <w:numId w:val="25"/>
        </w:numPr>
        <w:spacing w:after="0"/>
        <w:ind w:left="1276"/>
      </w:pPr>
      <w:r>
        <w:t>Předpokládaná hodnota pro stavbu 2 činí 13 837 856,- Kč (bez DPH).</w:t>
      </w:r>
    </w:p>
    <w:p w14:paraId="24C9154B" w14:textId="6DFFD30B" w:rsidR="00D500B1" w:rsidRDefault="00D500B1" w:rsidP="003D5434">
      <w:pPr>
        <w:pStyle w:val="Textbezslovn"/>
        <w:ind w:left="0"/>
      </w:pP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FE9F9A4" w:rsidR="00470B77" w:rsidRDefault="00FD39DE" w:rsidP="003D5434">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52E39EB" w14:textId="77777777" w:rsidR="003D5434" w:rsidRDefault="00FD39DE" w:rsidP="00FD39DE">
      <w:pPr>
        <w:pStyle w:val="Text1-1"/>
      </w:pPr>
      <w:r w:rsidRPr="008513D8">
        <w:t>Zadavatel sděluje, že následující části zadávací dokumentace vypracovala osoba odlišná</w:t>
      </w:r>
      <w:r w:rsidRPr="00FD39DE">
        <w:t xml:space="preserve"> od zadavatele, a to: </w:t>
      </w:r>
    </w:p>
    <w:p w14:paraId="57E9CE33" w14:textId="77777777" w:rsidR="003D5434" w:rsidRDefault="003D5434" w:rsidP="003D5434">
      <w:pPr>
        <w:pStyle w:val="Text1-1"/>
        <w:numPr>
          <w:ilvl w:val="0"/>
          <w:numId w:val="25"/>
        </w:numPr>
      </w:pPr>
      <w:r>
        <w:lastRenderedPageBreak/>
        <w:t xml:space="preserve">Pro „stavbu 1“ Dokumentace pro společné povolení a dokumentace pro provádění stavby, zpracovaná společností </w:t>
      </w:r>
      <w:proofErr w:type="spellStart"/>
      <w:r>
        <w:t>EXprojekt</w:t>
      </w:r>
      <w:proofErr w:type="spellEnd"/>
      <w:r>
        <w:t xml:space="preserve"> s.r.o., se sídlem Heršpická 758/13, Štýřice, 619 00 Brno, IČO: 29285801, z 11/2020;</w:t>
      </w:r>
    </w:p>
    <w:p w14:paraId="4DF38CF3" w14:textId="29DB68C9" w:rsidR="0035531B" w:rsidRPr="008513D8" w:rsidRDefault="003D5434" w:rsidP="003D5434">
      <w:pPr>
        <w:pStyle w:val="Text1-1"/>
        <w:numPr>
          <w:ilvl w:val="0"/>
          <w:numId w:val="25"/>
        </w:numPr>
      </w:pPr>
      <w:r>
        <w:t xml:space="preserve">Pro „stavbu 2“ Dokumentace pro společné povolení a dokumentace pro provádění stavby, zpracovaná společností </w:t>
      </w:r>
      <w:proofErr w:type="spellStart"/>
      <w:r>
        <w:t>EXprojekt</w:t>
      </w:r>
      <w:proofErr w:type="spellEnd"/>
      <w:r>
        <w:t xml:space="preserve"> s.r.o., se sídlem Heršpická 758/13, Štýřice, 619 00 Brno, IČO: 29285801, z 11/2020.</w:t>
      </w:r>
    </w:p>
    <w:p w14:paraId="43D1303E" w14:textId="13B3666C" w:rsidR="0035531B" w:rsidRDefault="00FD39DE" w:rsidP="003D5434">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58380792"/>
      <w:r>
        <w:t>VYSVĚTLENÍ, ZMĚNY</w:t>
      </w:r>
      <w:r w:rsidR="00845C50">
        <w:t xml:space="preserve"> </w:t>
      </w:r>
      <w:r w:rsidR="00776A8A">
        <w:t>A</w:t>
      </w:r>
      <w:r w:rsidR="00845C50">
        <w:t> </w:t>
      </w:r>
      <w:r>
        <w:t>DOPLNĚNÍ ZADÁVACÍ DOKUMENTACE</w:t>
      </w:r>
      <w:bookmarkEnd w:id="10"/>
      <w:r>
        <w:t xml:space="preserve"> </w:t>
      </w:r>
    </w:p>
    <w:p w14:paraId="3A8E6C92" w14:textId="46439AC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3D5434">
          <w:rPr>
            <w:rStyle w:val="Hypertextovodkaz"/>
            <w:noProof w:val="0"/>
          </w:rPr>
          <w:t>https://zakazky.spravazeleznic.cz/</w:t>
        </w:r>
      </w:hyperlink>
      <w:r w:rsidRPr="003D5434">
        <w:t xml:space="preserve">. Písemná žádost musí být zadavateli doručena </w:t>
      </w:r>
      <w:r w:rsidRPr="003D5434">
        <w:rPr>
          <w:b/>
        </w:rPr>
        <w:t xml:space="preserve">nejpozději </w:t>
      </w:r>
      <w:r w:rsidR="00B07880" w:rsidRPr="003D5434">
        <w:rPr>
          <w:b/>
        </w:rPr>
        <w:t>6 pracovních dnů</w:t>
      </w:r>
      <w:r w:rsidR="00B07880" w:rsidRPr="003D5434">
        <w:t xml:space="preserve"> </w:t>
      </w:r>
      <w:r w:rsidRPr="003D5434">
        <w:t>před</w:t>
      </w:r>
      <w:r w:rsidRPr="00FD39DE">
        <w:t xml:space="preserve"> uplynutím lhůty pro podání nabídek</w:t>
      </w:r>
      <w:r w:rsidR="00693188">
        <w:t>, jinak zadavatel není povinen vysvětlení poskytnout</w:t>
      </w:r>
      <w:r w:rsidRPr="00FD39DE">
        <w:t>.</w:t>
      </w:r>
    </w:p>
    <w:p w14:paraId="04E7F2E9" w14:textId="35D2F09B" w:rsidR="0035531B" w:rsidRDefault="00FD39DE" w:rsidP="00FD39DE">
      <w:pPr>
        <w:pStyle w:val="Text1-1"/>
      </w:pPr>
      <w:r w:rsidRPr="00FD39DE">
        <w:t xml:space="preserve">Zadavatel poskytne vysvětlení zadávací dokumentace nejpozději </w:t>
      </w:r>
      <w:r w:rsidRPr="003D5434">
        <w:t xml:space="preserve">do </w:t>
      </w:r>
      <w:r w:rsidR="00B07880" w:rsidRPr="003D5434">
        <w:t xml:space="preserve">3 </w:t>
      </w:r>
      <w:r w:rsidRPr="003D5434">
        <w:t>pracovních dnů po doručení žádosti podle předchozího odstavce. Pokud zadavatel na žádost o vysvětlení, která není doručena včas, vysvětlení poskytne, nemusí dodržet lhůtu uvedenou v předchozí větě</w:t>
      </w:r>
      <w:r w:rsidR="0035531B" w:rsidRPr="003D5434">
        <w:t>.</w:t>
      </w:r>
      <w:r w:rsidR="00693188" w:rsidRPr="003D5434">
        <w:t xml:space="preserve"> Vysvětlení zadávací dokumentace může zadavatel poskytnout i bez předchozí žádosti, a to nejméně </w:t>
      </w:r>
      <w:r w:rsidR="00CE5F6A" w:rsidRPr="003D5434">
        <w:t>3</w:t>
      </w:r>
      <w:r w:rsidR="00693188" w:rsidRPr="003D5434">
        <w:t xml:space="preserve"> pracovní dny před uplynutím lhůty pro</w:t>
      </w:r>
      <w:r w:rsidR="00693188">
        <w:t xml:space="preserve"> podání nabídek.</w:t>
      </w:r>
    </w:p>
    <w:p w14:paraId="33849454" w14:textId="6CDFC1C7" w:rsidR="0035531B" w:rsidRDefault="00FD39DE" w:rsidP="003D5434">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 xml:space="preserve">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256E38FC" w:rsidR="0035531B" w:rsidRDefault="0035531B" w:rsidP="00CC4380">
      <w:pPr>
        <w:pStyle w:val="Textbezslovn"/>
        <w:ind w:left="1077"/>
      </w:pPr>
    </w:p>
    <w:p w14:paraId="623DE31E" w14:textId="77777777" w:rsidR="0035531B" w:rsidRPr="003D5434" w:rsidRDefault="0035531B" w:rsidP="00D10A2D">
      <w:pPr>
        <w:pStyle w:val="Odrka1-2-"/>
      </w:pPr>
      <w:r w:rsidRPr="003D5434">
        <w:t>Provádění staveb, jejich změn</w:t>
      </w:r>
      <w:r w:rsidR="00845C50" w:rsidRPr="003D5434">
        <w:t xml:space="preserve"> a </w:t>
      </w:r>
      <w:r w:rsidRPr="003D5434">
        <w:t>odstraňování,</w:t>
      </w:r>
    </w:p>
    <w:p w14:paraId="7B3ED4C1" w14:textId="77777777" w:rsidR="0035531B" w:rsidRPr="003D5434" w:rsidRDefault="0035531B" w:rsidP="00CC4380">
      <w:pPr>
        <w:pStyle w:val="Odrka1-2-"/>
      </w:pPr>
      <w:r w:rsidRPr="003D5434">
        <w:t>Revize, prohlídky</w:t>
      </w:r>
      <w:r w:rsidR="00845C50" w:rsidRPr="003D5434">
        <w:t xml:space="preserve"> a </w:t>
      </w:r>
      <w:r w:rsidRPr="003D5434">
        <w:t>zkoušky určených technických zařízení</w:t>
      </w:r>
      <w:r w:rsidR="00092CC9" w:rsidRPr="003D5434">
        <w:t xml:space="preserve"> v </w:t>
      </w:r>
      <w:r w:rsidRPr="003D5434">
        <w:t>provozu,</w:t>
      </w:r>
    </w:p>
    <w:p w14:paraId="04F4E806" w14:textId="3BBE5985" w:rsidR="0035531B" w:rsidRPr="003D5434" w:rsidRDefault="0035531B" w:rsidP="003D5434">
      <w:pPr>
        <w:pStyle w:val="Odrka1-2-"/>
      </w:pPr>
      <w:r w:rsidRPr="003D5434">
        <w:t>Výkon zeměměřických činností</w:t>
      </w:r>
      <w:r w:rsidR="003D5434" w:rsidRPr="003D5434">
        <w:t>.</w:t>
      </w:r>
    </w:p>
    <w:p w14:paraId="3C96E5EA" w14:textId="77777777" w:rsidR="00267CF3" w:rsidRPr="003D5434" w:rsidRDefault="00267CF3" w:rsidP="003D5434">
      <w:pPr>
        <w:pStyle w:val="Odrka1-2-"/>
        <w:numPr>
          <w:ilvl w:val="0"/>
          <w:numId w:val="0"/>
        </w:numPr>
      </w:pPr>
    </w:p>
    <w:p w14:paraId="03FF036D" w14:textId="77777777" w:rsidR="0035531B" w:rsidRPr="003D5434" w:rsidRDefault="0035531B" w:rsidP="00092CC9">
      <w:pPr>
        <w:pStyle w:val="Odrka1-1"/>
      </w:pPr>
      <w:r w:rsidRPr="003D5434">
        <w:t>Odborná způsobilost:</w:t>
      </w:r>
    </w:p>
    <w:p w14:paraId="69330FA9" w14:textId="77777777" w:rsidR="00344A9C" w:rsidRPr="003D5434" w:rsidRDefault="0035531B" w:rsidP="00CC4380">
      <w:pPr>
        <w:pStyle w:val="Odrka1-2-"/>
        <w:rPr>
          <w:rStyle w:val="Tun9b"/>
          <w:b w:val="0"/>
        </w:rPr>
      </w:pPr>
      <w:r w:rsidRPr="003D5434">
        <w:t>Zadavatel požaduje předložení dokladu</w:t>
      </w:r>
      <w:r w:rsidR="00092CC9" w:rsidRPr="003D5434">
        <w:t xml:space="preserve"> o </w:t>
      </w:r>
      <w:r w:rsidRPr="003D5434">
        <w:t>autorizaci</w:t>
      </w:r>
      <w:r w:rsidR="00092CC9" w:rsidRPr="003D5434">
        <w:t xml:space="preserve"> v </w:t>
      </w:r>
      <w:r w:rsidRPr="003D5434">
        <w:t xml:space="preserve">rozsahu dle § 5 odst. 3 písm. </w:t>
      </w:r>
    </w:p>
    <w:p w14:paraId="569C1790" w14:textId="77777777" w:rsidR="00344A9C" w:rsidRPr="003D5434" w:rsidRDefault="00344A9C" w:rsidP="00344A9C">
      <w:pPr>
        <w:pStyle w:val="Odrka1-1"/>
        <w:numPr>
          <w:ilvl w:val="0"/>
          <w:numId w:val="0"/>
        </w:numPr>
        <w:ind w:left="1190" w:firstLine="341"/>
        <w:rPr>
          <w:b/>
        </w:rPr>
      </w:pPr>
      <w:r w:rsidRPr="003D5434">
        <w:rPr>
          <w:b/>
        </w:rPr>
        <w:t xml:space="preserve">e) </w:t>
      </w:r>
      <w:r w:rsidRPr="003D5434">
        <w:t>technologická zařízení staveb</w:t>
      </w:r>
    </w:p>
    <w:p w14:paraId="3D40E566" w14:textId="70E176C8" w:rsidR="0035531B" w:rsidRPr="003D5434" w:rsidRDefault="0035531B" w:rsidP="00344A9C">
      <w:pPr>
        <w:pStyle w:val="Odrka1-2-"/>
        <w:numPr>
          <w:ilvl w:val="0"/>
          <w:numId w:val="0"/>
        </w:numPr>
        <w:ind w:left="1531"/>
      </w:pPr>
      <w:r w:rsidRPr="003D5434">
        <w:t>zákona č. 360/1992 Sb.,</w:t>
      </w:r>
      <w:r w:rsidR="00092CC9" w:rsidRPr="003D5434">
        <w:t xml:space="preserve"> o </w:t>
      </w:r>
      <w:r w:rsidRPr="003D5434">
        <w:t>výkonu povolání autorizovaných architektů</w:t>
      </w:r>
      <w:r w:rsidR="00845C50" w:rsidRPr="003D5434">
        <w:t xml:space="preserve"> a</w:t>
      </w:r>
      <w:r w:rsidR="00092CC9" w:rsidRPr="003D5434">
        <w:t xml:space="preserve"> o </w:t>
      </w:r>
      <w:r w:rsidRPr="003D5434">
        <w:t>výkonu povolání autorizovaných inženýrů</w:t>
      </w:r>
      <w:r w:rsidR="00845C50" w:rsidRPr="003D5434">
        <w:t xml:space="preserve"> a </w:t>
      </w:r>
      <w:r w:rsidRPr="003D5434">
        <w:t>techniků činných ve výstavbě, ve znění pozdějších předpisů</w:t>
      </w:r>
      <w:r w:rsidR="007476A8" w:rsidRPr="003D5434">
        <w:t xml:space="preserve"> (dále jen „autorizační zákon“)</w:t>
      </w:r>
      <w:r w:rsidRPr="003D5434">
        <w:t>.</w:t>
      </w:r>
    </w:p>
    <w:p w14:paraId="7DAD5E15" w14:textId="108CE2F5" w:rsidR="0035531B" w:rsidRPr="003D5434" w:rsidRDefault="0035531B" w:rsidP="00CC4380">
      <w:pPr>
        <w:pStyle w:val="Odrka1-2-"/>
      </w:pPr>
      <w:r w:rsidRPr="003D5434">
        <w:t xml:space="preserve">Zadavatel požaduje předložení </w:t>
      </w:r>
      <w:r w:rsidR="0050329F" w:rsidRPr="003D5434">
        <w:t xml:space="preserve">autorizace </w:t>
      </w:r>
      <w:r w:rsidRPr="003D5434">
        <w:t>pro ověřování výsledků zeměměřických činností</w:t>
      </w:r>
      <w:r w:rsidR="00092CC9" w:rsidRPr="003D5434">
        <w:t xml:space="preserve"> v </w:t>
      </w:r>
      <w:r w:rsidRPr="003D5434">
        <w:t xml:space="preserve">rozsahu dle § </w:t>
      </w:r>
      <w:r w:rsidR="0050329F" w:rsidRPr="003D5434">
        <w:t xml:space="preserve">16f </w:t>
      </w:r>
      <w:r w:rsidRPr="003D5434">
        <w:t xml:space="preserve">odst. 1 písm. </w:t>
      </w:r>
      <w:r w:rsidRPr="003D5434">
        <w:rPr>
          <w:rStyle w:val="Tun9b"/>
        </w:rPr>
        <w:t>a)</w:t>
      </w:r>
      <w:r w:rsidR="00845C50" w:rsidRPr="003D5434">
        <w:rPr>
          <w:rStyle w:val="Tun9b"/>
        </w:rPr>
        <w:t xml:space="preserve"> </w:t>
      </w:r>
      <w:r w:rsidR="00845C50" w:rsidRPr="003D5434">
        <w:rPr>
          <w:rStyle w:val="Tun9b"/>
          <w:b w:val="0"/>
        </w:rPr>
        <w:t>a </w:t>
      </w:r>
      <w:r w:rsidRPr="003D5434">
        <w:rPr>
          <w:rStyle w:val="Tun9b"/>
        </w:rPr>
        <w:t>c)</w:t>
      </w:r>
      <w:r w:rsidRPr="003D5434">
        <w:t xml:space="preserve"> zákona č. </w:t>
      </w:r>
      <w:r w:rsidRPr="003D5434">
        <w:lastRenderedPageBreak/>
        <w:t>200/1994 Sb.,</w:t>
      </w:r>
      <w:r w:rsidR="00092CC9" w:rsidRPr="003D5434">
        <w:t xml:space="preserve"> o </w:t>
      </w:r>
      <w:r w:rsidRPr="003D5434">
        <w:t>zeměměřictví</w:t>
      </w:r>
      <w:r w:rsidR="00845C50" w:rsidRPr="003D5434">
        <w:t xml:space="preserve"> a</w:t>
      </w:r>
      <w:r w:rsidR="00092CC9" w:rsidRPr="003D5434">
        <w:t xml:space="preserve"> o </w:t>
      </w:r>
      <w:r w:rsidRPr="003D5434">
        <w:t>změně</w:t>
      </w:r>
      <w:r w:rsidR="00845C50" w:rsidRPr="003D5434">
        <w:t xml:space="preserve"> a </w:t>
      </w:r>
      <w:r w:rsidRPr="003D5434">
        <w:t>doplnění některých zákonů souvisejících</w:t>
      </w:r>
      <w:r w:rsidR="00845C50" w:rsidRPr="003D5434">
        <w:t xml:space="preserve"> s </w:t>
      </w:r>
      <w:r w:rsidRPr="003D5434">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4D88C28" w:rsidR="00F95A2C" w:rsidRDefault="00F95A2C" w:rsidP="00F95A2C">
      <w:pPr>
        <w:pStyle w:val="Textbezslovn"/>
      </w:pPr>
      <w:r>
        <w:t xml:space="preserve">Zadavatel požaduje předložení </w:t>
      </w:r>
      <w:r w:rsidRPr="005B3472">
        <w:rPr>
          <w:b/>
        </w:rPr>
        <w:t>seznamu</w:t>
      </w:r>
      <w:r>
        <w:t xml:space="preserve"> stavebních </w:t>
      </w:r>
      <w:r w:rsidRPr="00022AB4">
        <w:t xml:space="preserve">prací </w:t>
      </w:r>
      <w:r w:rsidR="00F6113F" w:rsidRPr="00022AB4">
        <w:t>spočívajících v provedení novostavby</w:t>
      </w:r>
      <w:r w:rsidR="00385740" w:rsidRPr="00022AB4">
        <w:t>,</w:t>
      </w:r>
      <w:r w:rsidR="00F6113F" w:rsidRPr="00022AB4">
        <w:t xml:space="preserve"> rekonstrukce </w:t>
      </w:r>
      <w:r w:rsidR="00385740" w:rsidRPr="00022AB4">
        <w:t xml:space="preserve">nebo opravy </w:t>
      </w:r>
      <w:r w:rsidRPr="00022AB4">
        <w:t>na stavbách železničních drah, jak jsou vymezeny v § 5 odst. 1 a v § 3 odst. 1 zákona č. 266/1994 Sb., o dráhách, ve znění pozdějších předpisů</w:t>
      </w:r>
      <w:r w:rsidR="00F6113F" w:rsidRPr="00022AB4">
        <w:t xml:space="preserve">, </w:t>
      </w:r>
      <w:r w:rsidR="00373447" w:rsidRPr="00022AB4">
        <w:t xml:space="preserve">poskytnutých dodavatelem </w:t>
      </w:r>
      <w:r w:rsidRPr="00022AB4">
        <w:t>za posledních 5 let před</w:t>
      </w:r>
      <w:r>
        <w:t xml:space="preserve"> zahájením výběrového řízení (dále jako „</w:t>
      </w:r>
      <w:r w:rsidRPr="00F95A2C">
        <w:rPr>
          <w:b/>
        </w:rPr>
        <w:t>stavební práce</w:t>
      </w:r>
      <w:r>
        <w:t xml:space="preserve">“). </w:t>
      </w:r>
    </w:p>
    <w:p w14:paraId="3D4CF4EA" w14:textId="69A381D6"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851DD1">
        <w:t>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851DD1" w:rsidRPr="00851DD1">
        <w:rPr>
          <w:b/>
          <w:bCs/>
        </w:rPr>
        <w:t>49 000 000,-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A463B5">
        <w:t>mimo jiné</w:t>
      </w:r>
      <w:r w:rsidR="00851DD1">
        <w:t xml:space="preserve"> </w:t>
      </w:r>
      <w:r w:rsidR="00705801" w:rsidRPr="00705801">
        <w:t>novostavba, rekonstrukce či oprava pevných trakčních zařízení na střídavou trakci 25kV, 50Hz</w:t>
      </w:r>
      <w:r w:rsidRPr="00930B76">
        <w:t xml:space="preserve">, přičemž celková hodnota alespoň jedné provedené stavební práce musí, včetně případných poddodávek, činit alespoň </w:t>
      </w:r>
      <w:r w:rsidR="00705801" w:rsidRPr="00705801">
        <w:rPr>
          <w:b/>
          <w:bCs/>
        </w:rPr>
        <w:t>22 000 000,-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0E1A5133" w14:textId="22705C39" w:rsidR="001C3945" w:rsidRDefault="003D42AA" w:rsidP="00705801">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25D0E7A0" w:rsidR="00CD2B30" w:rsidRDefault="001C3945" w:rsidP="00705801">
      <w:pPr>
        <w:pStyle w:val="Odrka1-1"/>
      </w:pPr>
      <w:r w:rsidRPr="00412F6F">
        <w:lastRenderedPageBreak/>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05801">
        <w:t xml:space="preserve">posledních </w:t>
      </w:r>
      <w:r w:rsidRPr="00705801">
        <w:t xml:space="preserve">5 let </w:t>
      </w:r>
      <w:r w:rsidR="0087311C" w:rsidRPr="00705801">
        <w:t xml:space="preserve">před zahájením výběrového řízení </w:t>
      </w:r>
      <w:r w:rsidRPr="00705801">
        <w:t xml:space="preserve">se </w:t>
      </w:r>
      <w:r w:rsidR="0087311C" w:rsidRPr="00705801">
        <w:t xml:space="preserve">pro účely prokázání technické kvalifikace ohledně referenčních zakázek </w:t>
      </w:r>
      <w:r w:rsidRPr="00705801">
        <w:t xml:space="preserve">považuje za splněnou, pokud byly stavební práce </w:t>
      </w:r>
      <w:r w:rsidR="0087311C" w:rsidRPr="00705801">
        <w:t xml:space="preserve">dokončeny </w:t>
      </w:r>
      <w:r w:rsidRPr="00705801">
        <w:t>v průběhu této doby</w:t>
      </w:r>
      <w:r w:rsidR="0087311C" w:rsidRPr="00705801">
        <w:t xml:space="preserve"> nebo kdykoli po zahájení výběrového řízení, včetně doby po podání nabídek, a to nejpozději do doby zadavatelem případně stanovené k předložení údajů a dokladů dle bodu 16.3 této Výzvy. P</w:t>
      </w:r>
      <w:r w:rsidRPr="00705801">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05801">
        <w:t xml:space="preserve">pro účely prokázání technické kvalifikace v tomto výběrovém řízení </w:t>
      </w:r>
      <w:r w:rsidRPr="00705801">
        <w:t xml:space="preserve">rozumí </w:t>
      </w:r>
      <w:r w:rsidR="000E15C8" w:rsidRPr="00705801">
        <w:t xml:space="preserve">i </w:t>
      </w:r>
      <w:r w:rsidRPr="00705801">
        <w:t>uvedení díla</w:t>
      </w:r>
      <w:r w:rsidR="000E15C8" w:rsidRPr="00705801">
        <w:t>, resp. poslední části</w:t>
      </w:r>
      <w:r w:rsidR="00560665" w:rsidRPr="00705801">
        <w:t xml:space="preserve"> stavební práce</w:t>
      </w:r>
      <w:r w:rsidR="000E15C8" w:rsidRPr="00705801">
        <w:t>,</w:t>
      </w:r>
      <w:r w:rsidRPr="00705801">
        <w:t xml:space="preserve"> alespoň do zkušebního provozu. Zadavatel nicméně za dílo dokončené v období posledních 5 let bude považovat též dílo, které v tomto období bylo dokončeno jako celek, tj. včetně plnění navazujících na zkušební provoz</w:t>
      </w:r>
      <w:r w:rsidRPr="00AF4A09">
        <w:t>,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lastRenderedPageBreak/>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024E18E"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705801">
        <w:t xml:space="preserve">funkci, s výjimkou </w:t>
      </w:r>
      <w:r w:rsidR="0050329F" w:rsidRPr="00705801">
        <w:t xml:space="preserve">autorizovaného </w:t>
      </w:r>
      <w:r w:rsidRPr="00705801">
        <w:t xml:space="preserve">zeměměřického inženýra, může být za účelem splnění kvalifikace doložena pouze jedna fyzická osoba. Jednotlivé požadavky na kvalifikační kritéria u každé jednotlivé funkce tedy, s výjimkou </w:t>
      </w:r>
      <w:r w:rsidR="0050329F" w:rsidRPr="00705801">
        <w:t xml:space="preserve">autorizovaného </w:t>
      </w:r>
      <w:r w:rsidRPr="00705801">
        <w:t>zeměměřického inženýra, nelze jakkoliv rozdělit mezi více fyzických osob, takže u téže funkce člena personálu nemůže být prokázáno splnění např. požadované</w:t>
      </w:r>
      <w:r w:rsidR="00F62556" w:rsidRPr="00705801">
        <w:t xml:space="preserve"> praxe</w:t>
      </w:r>
      <w:r w:rsidRPr="00705801">
        <w:t xml:space="preserve"> jednou osobou a pomocí jiné osoby odborná způsobilost. </w:t>
      </w:r>
      <w:r w:rsidR="000C3CD6" w:rsidRPr="00705801">
        <w:t xml:space="preserve">I v případě, že bude kvalifikace jednotlivých členů odborného personálu </w:t>
      </w:r>
      <w:r w:rsidR="00A256E5" w:rsidRPr="00705801">
        <w:t xml:space="preserve">v plném rozsahu </w:t>
      </w:r>
      <w:r w:rsidR="000C3CD6" w:rsidRPr="00705801">
        <w:t xml:space="preserve">prokázána samostatně více fyzickými osobami, může být ve smlouvě uvedena, s výjimkou </w:t>
      </w:r>
      <w:r w:rsidR="0050329F" w:rsidRPr="00705801">
        <w:t xml:space="preserve">autorizovaného </w:t>
      </w:r>
      <w:r w:rsidR="000C3CD6" w:rsidRPr="00705801">
        <w:t>zeměměřického inženýra, na příslušné pozici člena odborného personálu pouze jedna fyzická osoba. Tuto osobu je dodavatel povinen</w:t>
      </w:r>
      <w:r w:rsidR="000C3CD6">
        <w:t xml:space="preserve">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Default="00AF4A09" w:rsidP="00AF4A09">
      <w:pPr>
        <w:pStyle w:val="Textbezslovn"/>
      </w:pPr>
      <w:r>
        <w:lastRenderedPageBreak/>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553F0A46" w:rsidR="0035531B" w:rsidRPr="00705801" w:rsidRDefault="0035531B" w:rsidP="00705801">
      <w:pPr>
        <w:pStyle w:val="Odstavec1-1a"/>
        <w:numPr>
          <w:ilvl w:val="0"/>
          <w:numId w:val="26"/>
        </w:numPr>
        <w:rPr>
          <w:rStyle w:val="Tun9b"/>
        </w:rPr>
      </w:pPr>
      <w:r w:rsidRPr="00705801">
        <w:rPr>
          <w:rStyle w:val="Tun9b"/>
        </w:rPr>
        <w:t>stavbyvedoucí</w:t>
      </w:r>
    </w:p>
    <w:p w14:paraId="5D013D3E" w14:textId="77777777" w:rsidR="0035531B" w:rsidRPr="00705801" w:rsidRDefault="0035531B" w:rsidP="00930B79">
      <w:pPr>
        <w:pStyle w:val="Odrka1-2-"/>
      </w:pPr>
      <w:r w:rsidRPr="00705801">
        <w:t>nejméně 5 let praxe</w:t>
      </w:r>
      <w:r w:rsidR="00092CC9" w:rsidRPr="00705801">
        <w:t xml:space="preserve"> v </w:t>
      </w:r>
      <w:r w:rsidRPr="00705801">
        <w:t xml:space="preserve">řízení provádění staveb železničních drah; </w:t>
      </w:r>
    </w:p>
    <w:p w14:paraId="13976A36" w14:textId="140030AE" w:rsidR="0035531B" w:rsidRPr="00705801" w:rsidRDefault="00AF4A09" w:rsidP="00AF4A09">
      <w:pPr>
        <w:pStyle w:val="Odrka1-2-"/>
      </w:pPr>
      <w:r w:rsidRPr="00705801">
        <w:t xml:space="preserve">zkušenost s řízením realizace alespoň jedné zakázky </w:t>
      </w:r>
      <w:r w:rsidR="00642162" w:rsidRPr="00705801">
        <w:t>na stavební práce, jež zahrnovala novostavbu, rekonstrukci nebo opravu</w:t>
      </w:r>
      <w:r w:rsidRPr="00705801">
        <w:t xml:space="preserve"> stavby železničních drah v hodnotě nejméně </w:t>
      </w:r>
      <w:r w:rsidR="00705801" w:rsidRPr="00705801">
        <w:rPr>
          <w:b/>
          <w:bCs/>
        </w:rPr>
        <w:t>22 000 000,-</w:t>
      </w:r>
      <w:r w:rsidRPr="00705801">
        <w:t xml:space="preserve"> </w:t>
      </w:r>
      <w:r w:rsidRPr="00705801">
        <w:rPr>
          <w:b/>
        </w:rPr>
        <w:t xml:space="preserve">Kč </w:t>
      </w:r>
      <w:r w:rsidRPr="00705801">
        <w:t>bez DPH, a to v posledních 10 letech před zahájením výběrového řízení</w:t>
      </w:r>
      <w:r w:rsidR="00705801" w:rsidRPr="00705801">
        <w:t>,</w:t>
      </w:r>
      <w:r w:rsidRPr="00705801">
        <w:t xml:space="preserve"> jejímž předmětem byla mimo jiné </w:t>
      </w:r>
      <w:r w:rsidR="00BE3236" w:rsidRPr="00705801">
        <w:t xml:space="preserve">novostavba, </w:t>
      </w:r>
      <w:r w:rsidRPr="00705801">
        <w:t xml:space="preserve">rekonstrukce nebo </w:t>
      </w:r>
      <w:r w:rsidR="00BE3236" w:rsidRPr="00705801">
        <w:t>oprava</w:t>
      </w:r>
      <w:r w:rsidR="00481047" w:rsidRPr="00705801">
        <w:t xml:space="preserve"> </w:t>
      </w:r>
      <w:r w:rsidR="00705801" w:rsidRPr="00705801">
        <w:t xml:space="preserve">pevných trakčních zařízení střídavé trakce 25 </w:t>
      </w:r>
      <w:proofErr w:type="spellStart"/>
      <w:r w:rsidR="00705801" w:rsidRPr="00705801">
        <w:t>kV</w:t>
      </w:r>
      <w:proofErr w:type="spellEnd"/>
      <w:r w:rsidR="00705801" w:rsidRPr="00705801">
        <w:t>, 50 Hz</w:t>
      </w:r>
      <w:r w:rsidR="0035531B" w:rsidRPr="00705801">
        <w:t>;</w:t>
      </w:r>
    </w:p>
    <w:p w14:paraId="32D268AB" w14:textId="040641A0" w:rsidR="0035531B" w:rsidRPr="00705801" w:rsidRDefault="0035531B" w:rsidP="00AD1771">
      <w:pPr>
        <w:pStyle w:val="Odrka1-2-"/>
      </w:pPr>
      <w:r w:rsidRPr="00705801">
        <w:t>musí předložit doklad</w:t>
      </w:r>
      <w:r w:rsidR="00092CC9" w:rsidRPr="00705801">
        <w:t xml:space="preserve"> o </w:t>
      </w:r>
      <w:r w:rsidRPr="00705801">
        <w:t>autorizaci</w:t>
      </w:r>
      <w:r w:rsidR="00092CC9" w:rsidRPr="00705801">
        <w:t xml:space="preserve"> v </w:t>
      </w:r>
      <w:r w:rsidRPr="00705801">
        <w:t xml:space="preserve">rozsahu dle § 5 odst. 3 písm. </w:t>
      </w:r>
      <w:r w:rsidR="00705801" w:rsidRPr="00705801">
        <w:rPr>
          <w:b/>
          <w:bCs/>
        </w:rPr>
        <w:t>e</w:t>
      </w:r>
      <w:r w:rsidRPr="00705801">
        <w:rPr>
          <w:b/>
          <w:bCs/>
        </w:rPr>
        <w:t>)</w:t>
      </w:r>
      <w:r w:rsidRPr="00705801">
        <w:t xml:space="preserve"> </w:t>
      </w:r>
      <w:r w:rsidR="007476A8" w:rsidRPr="00705801">
        <w:t xml:space="preserve">autorizačního </w:t>
      </w:r>
      <w:r w:rsidRPr="00705801">
        <w:t>zákona, tedy</w:t>
      </w:r>
      <w:r w:rsidR="00092CC9" w:rsidRPr="00705801">
        <w:t xml:space="preserve"> v </w:t>
      </w:r>
      <w:r w:rsidRPr="00705801">
        <w:t xml:space="preserve">oboru </w:t>
      </w:r>
      <w:r w:rsidR="00705801" w:rsidRPr="00705801">
        <w:rPr>
          <w:b/>
          <w:bCs/>
        </w:rPr>
        <w:t>technologická zařízení staveb</w:t>
      </w:r>
      <w:r w:rsidRPr="00705801">
        <w:t>;</w:t>
      </w:r>
    </w:p>
    <w:p w14:paraId="4D0633CC" w14:textId="77777777" w:rsidR="0035531B" w:rsidRPr="0092524C" w:rsidRDefault="0035531B" w:rsidP="00930B79">
      <w:pPr>
        <w:pStyle w:val="Odstavec1-1a"/>
        <w:rPr>
          <w:rStyle w:val="Tun9b"/>
        </w:rPr>
      </w:pPr>
      <w:r w:rsidRPr="0092524C">
        <w:rPr>
          <w:rStyle w:val="Tun9b"/>
        </w:rPr>
        <w:t>zástupce stavbyvedoucího</w:t>
      </w:r>
    </w:p>
    <w:p w14:paraId="08FEC7B1" w14:textId="057476CB" w:rsidR="0035531B" w:rsidRPr="0092524C" w:rsidRDefault="0035531B" w:rsidP="00930B79">
      <w:pPr>
        <w:pStyle w:val="Odrka1-2-"/>
      </w:pPr>
      <w:r w:rsidRPr="0092524C">
        <w:t>nejméně 5 let praxe</w:t>
      </w:r>
      <w:r w:rsidR="00092CC9" w:rsidRPr="0092524C">
        <w:t xml:space="preserve"> v </w:t>
      </w:r>
      <w:r w:rsidRPr="0092524C">
        <w:t>provádění staveb železničních drah;</w:t>
      </w:r>
    </w:p>
    <w:p w14:paraId="313F7F16" w14:textId="6112C14B" w:rsidR="0035531B" w:rsidRPr="0092524C" w:rsidRDefault="0035531B" w:rsidP="00930B79">
      <w:pPr>
        <w:pStyle w:val="Odrka1-2-"/>
      </w:pPr>
      <w:r w:rsidRPr="0092524C">
        <w:t>musí předložit doklad</w:t>
      </w:r>
      <w:r w:rsidR="00092CC9" w:rsidRPr="0092524C">
        <w:t xml:space="preserve"> o </w:t>
      </w:r>
      <w:r w:rsidRPr="0092524C">
        <w:t>autorizaci</w:t>
      </w:r>
      <w:r w:rsidR="00092CC9" w:rsidRPr="0092524C">
        <w:t xml:space="preserve"> v </w:t>
      </w:r>
      <w:r w:rsidRPr="0092524C">
        <w:t xml:space="preserve">rozsahu dle § 5 odst. 3 písm. </w:t>
      </w:r>
      <w:r w:rsidR="00D123F1" w:rsidRPr="0092524C">
        <w:rPr>
          <w:b/>
          <w:bCs/>
        </w:rPr>
        <w:t>e</w:t>
      </w:r>
      <w:r w:rsidRPr="0092524C">
        <w:rPr>
          <w:b/>
          <w:bCs/>
        </w:rPr>
        <w:t>)</w:t>
      </w:r>
      <w:r w:rsidRPr="0092524C">
        <w:t xml:space="preserve"> autorizačního zákona, tedy</w:t>
      </w:r>
      <w:r w:rsidR="00092CC9" w:rsidRPr="0092524C">
        <w:t xml:space="preserve"> v </w:t>
      </w:r>
      <w:r w:rsidRPr="0092524C">
        <w:t xml:space="preserve">oboru </w:t>
      </w:r>
      <w:r w:rsidR="0092524C" w:rsidRPr="0092524C">
        <w:rPr>
          <w:b/>
          <w:bCs/>
        </w:rPr>
        <w:t>technologická zařízení staveb</w:t>
      </w:r>
      <w:r w:rsidRPr="0092524C">
        <w:t>;</w:t>
      </w:r>
    </w:p>
    <w:p w14:paraId="4B856CAB" w14:textId="4A39B127" w:rsidR="0035531B" w:rsidRPr="0092524C" w:rsidRDefault="0035531B" w:rsidP="008B2021">
      <w:pPr>
        <w:pStyle w:val="Odstavec1-1a"/>
        <w:rPr>
          <w:rStyle w:val="Tun9b"/>
        </w:rPr>
      </w:pPr>
      <w:r w:rsidRPr="0092524C">
        <w:rPr>
          <w:rStyle w:val="Tun9b"/>
        </w:rPr>
        <w:t xml:space="preserve">specialista (vedoucí prací) na </w:t>
      </w:r>
      <w:r w:rsidR="00AF4A09" w:rsidRPr="0092524C">
        <w:rPr>
          <w:rStyle w:val="Tun9b"/>
        </w:rPr>
        <w:t xml:space="preserve">sdělovací </w:t>
      </w:r>
      <w:r w:rsidRPr="0092524C">
        <w:rPr>
          <w:rStyle w:val="Tun9b"/>
        </w:rPr>
        <w:t>zařízení</w:t>
      </w:r>
    </w:p>
    <w:p w14:paraId="0D24011D" w14:textId="76F3F56E" w:rsidR="0035531B" w:rsidRPr="0092524C" w:rsidRDefault="0035531B" w:rsidP="008B2021">
      <w:pPr>
        <w:pStyle w:val="Odrka1-2-"/>
      </w:pPr>
      <w:r w:rsidRPr="0092524C">
        <w:t>nejméně 5 let praxe</w:t>
      </w:r>
      <w:r w:rsidR="00092CC9" w:rsidRPr="0092524C">
        <w:t xml:space="preserve"> v </w:t>
      </w:r>
      <w:r w:rsidRPr="0092524C">
        <w:t xml:space="preserve">oboru své specializace </w:t>
      </w:r>
      <w:r w:rsidR="00B07880" w:rsidRPr="0092524C">
        <w:t xml:space="preserve">(sdělovací zařízení) </w:t>
      </w:r>
      <w:r w:rsidRPr="0092524C">
        <w:t>při provádění staveb;</w:t>
      </w:r>
    </w:p>
    <w:p w14:paraId="394B6F75" w14:textId="081B779F" w:rsidR="0035531B" w:rsidRPr="0092524C" w:rsidRDefault="0035531B" w:rsidP="008B2021">
      <w:pPr>
        <w:pStyle w:val="Odrka1-2-"/>
      </w:pPr>
      <w:r w:rsidRPr="0092524C">
        <w:t>musí předložit doklad</w:t>
      </w:r>
      <w:r w:rsidR="00092CC9" w:rsidRPr="0092524C">
        <w:t xml:space="preserve"> o </w:t>
      </w:r>
      <w:r w:rsidRPr="0092524C">
        <w:t>autorizaci</w:t>
      </w:r>
      <w:r w:rsidR="00092CC9" w:rsidRPr="0092524C">
        <w:t xml:space="preserve"> v </w:t>
      </w:r>
      <w:r w:rsidRPr="0092524C">
        <w:t xml:space="preserve">rozsahu dle § 5 odst. 3 písm. </w:t>
      </w:r>
      <w:r w:rsidRPr="0092524C">
        <w:rPr>
          <w:b/>
          <w:bCs/>
        </w:rPr>
        <w:t>e)</w:t>
      </w:r>
      <w:r w:rsidRPr="0092524C">
        <w:t xml:space="preserve"> autorizačního zákona, tedy</w:t>
      </w:r>
      <w:r w:rsidR="00092CC9" w:rsidRPr="0092524C">
        <w:t xml:space="preserve"> v </w:t>
      </w:r>
      <w:r w:rsidRPr="0092524C">
        <w:t xml:space="preserve">oboru </w:t>
      </w:r>
      <w:r w:rsidRPr="0092524C">
        <w:rPr>
          <w:b/>
          <w:bCs/>
        </w:rPr>
        <w:t>technologická zařízení staveb</w:t>
      </w:r>
      <w:r w:rsidRPr="0092524C">
        <w:t>;</w:t>
      </w:r>
    </w:p>
    <w:p w14:paraId="1DFF9EA4" w14:textId="77777777" w:rsidR="0035531B" w:rsidRPr="0092524C" w:rsidRDefault="0035531B" w:rsidP="008B2021">
      <w:pPr>
        <w:pStyle w:val="Odstavec1-1a"/>
        <w:rPr>
          <w:rStyle w:val="Tun9b"/>
        </w:rPr>
      </w:pPr>
      <w:r w:rsidRPr="0092524C">
        <w:rPr>
          <w:rStyle w:val="Tun9b"/>
        </w:rPr>
        <w:t>specialista (vedoucí prací) na trakční vedení</w:t>
      </w:r>
      <w:r w:rsidR="00AF4A09" w:rsidRPr="0092524C">
        <w:rPr>
          <w:rStyle w:val="Tun9b"/>
        </w:rPr>
        <w:t xml:space="preserve"> a silnoproud</w:t>
      </w:r>
      <w:r w:rsidRPr="0092524C">
        <w:rPr>
          <w:rStyle w:val="Tun9b"/>
        </w:rPr>
        <w:t xml:space="preserve"> </w:t>
      </w:r>
    </w:p>
    <w:p w14:paraId="2BCC9219" w14:textId="77777777" w:rsidR="0035531B" w:rsidRPr="0092524C" w:rsidRDefault="0035531B" w:rsidP="008B2021">
      <w:pPr>
        <w:pStyle w:val="Odrka1-2-"/>
      </w:pPr>
      <w:r w:rsidRPr="0092524C">
        <w:t>nejméně 5 let praxe</w:t>
      </w:r>
      <w:r w:rsidR="00092CC9" w:rsidRPr="0092524C">
        <w:t xml:space="preserve"> v </w:t>
      </w:r>
      <w:r w:rsidRPr="0092524C">
        <w:t xml:space="preserve">oboru své specializace </w:t>
      </w:r>
      <w:r w:rsidR="00B07880" w:rsidRPr="0092524C">
        <w:t xml:space="preserve">(trakční vedení a silnoproud) </w:t>
      </w:r>
      <w:r w:rsidRPr="0092524C">
        <w:t>při provádění staveb;</w:t>
      </w:r>
    </w:p>
    <w:p w14:paraId="620D9907" w14:textId="20C8CF94" w:rsidR="0035531B" w:rsidRPr="0092524C" w:rsidRDefault="0035531B" w:rsidP="008B2021">
      <w:pPr>
        <w:pStyle w:val="Odrka1-2-"/>
      </w:pPr>
      <w:r w:rsidRPr="0092524C">
        <w:t>musí předložit doklad</w:t>
      </w:r>
      <w:r w:rsidR="00092CC9" w:rsidRPr="0092524C">
        <w:t xml:space="preserve"> o </w:t>
      </w:r>
      <w:r w:rsidRPr="0092524C">
        <w:t>autorizaci</w:t>
      </w:r>
      <w:r w:rsidR="00092CC9" w:rsidRPr="0092524C">
        <w:t xml:space="preserve"> v </w:t>
      </w:r>
      <w:r w:rsidRPr="0092524C">
        <w:t xml:space="preserve">rozsahu dle § 5 odst. 3 písm. </w:t>
      </w:r>
      <w:r w:rsidRPr="0092524C">
        <w:rPr>
          <w:b/>
          <w:bCs/>
        </w:rPr>
        <w:t>e)</w:t>
      </w:r>
      <w:r w:rsidRPr="0092524C">
        <w:t xml:space="preserve"> autorizačního zákona, tedy</w:t>
      </w:r>
      <w:r w:rsidR="00092CC9" w:rsidRPr="0092524C">
        <w:t xml:space="preserve"> v </w:t>
      </w:r>
      <w:r w:rsidRPr="0092524C">
        <w:t xml:space="preserve">oboru </w:t>
      </w:r>
      <w:r w:rsidRPr="0092524C">
        <w:rPr>
          <w:b/>
          <w:bCs/>
        </w:rPr>
        <w:t>technologická zařízení staveb</w:t>
      </w:r>
      <w:r w:rsidRPr="0092524C">
        <w:t>;</w:t>
      </w:r>
    </w:p>
    <w:p w14:paraId="3EC1E69A" w14:textId="45235143" w:rsidR="0035531B" w:rsidRPr="0092524C" w:rsidRDefault="0050329F" w:rsidP="008B2021">
      <w:pPr>
        <w:pStyle w:val="Odstavec1-1a"/>
        <w:rPr>
          <w:rStyle w:val="Tun9b"/>
        </w:rPr>
      </w:pPr>
      <w:r w:rsidRPr="0092524C">
        <w:rPr>
          <w:rStyle w:val="Tun9b"/>
        </w:rPr>
        <w:t xml:space="preserve">autorizovaný </w:t>
      </w:r>
      <w:r w:rsidR="0035531B" w:rsidRPr="0092524C">
        <w:rPr>
          <w:rStyle w:val="Tun9b"/>
        </w:rPr>
        <w:t>zeměměřický inženýr</w:t>
      </w:r>
    </w:p>
    <w:p w14:paraId="2FB873C5" w14:textId="112F72E3" w:rsidR="0035531B" w:rsidRPr="0092524C" w:rsidRDefault="0050329F" w:rsidP="008B2021">
      <w:pPr>
        <w:pStyle w:val="Odrka1-2-"/>
      </w:pPr>
      <w:r w:rsidRPr="0092524C">
        <w:t xml:space="preserve">autorizace </w:t>
      </w:r>
      <w:r w:rsidR="0035531B" w:rsidRPr="0092524C">
        <w:t>pro ověřování výsledků zeměměřických činností</w:t>
      </w:r>
      <w:r w:rsidR="00092CC9" w:rsidRPr="0092524C">
        <w:t xml:space="preserve"> v </w:t>
      </w:r>
      <w:r w:rsidR="0035531B" w:rsidRPr="0092524C">
        <w:t>rozsahu dle §</w:t>
      </w:r>
      <w:r w:rsidRPr="0092524C">
        <w:t xml:space="preserve"> 16f</w:t>
      </w:r>
      <w:r w:rsidR="0035531B" w:rsidRPr="0092524C">
        <w:t xml:space="preserve"> odst. 1 písm. </w:t>
      </w:r>
      <w:r w:rsidR="0035531B" w:rsidRPr="0092524C">
        <w:rPr>
          <w:b/>
          <w:bCs/>
        </w:rPr>
        <w:t>a)</w:t>
      </w:r>
      <w:r w:rsidR="00845C50" w:rsidRPr="0092524C">
        <w:t xml:space="preserve"> a </w:t>
      </w:r>
      <w:r w:rsidR="0035531B" w:rsidRPr="0092524C">
        <w:rPr>
          <w:b/>
          <w:bCs/>
        </w:rPr>
        <w:t>c)</w:t>
      </w:r>
      <w:r w:rsidR="0092524C" w:rsidRPr="0092524C">
        <w:t xml:space="preserve"> </w:t>
      </w:r>
      <w:r w:rsidR="0035531B" w:rsidRPr="0092524C">
        <w:t>zákona č. 200/1994 Sb.,</w:t>
      </w:r>
      <w:r w:rsidR="00092CC9" w:rsidRPr="0092524C">
        <w:t xml:space="preserve"> o </w:t>
      </w:r>
      <w:r w:rsidR="0035531B" w:rsidRPr="0092524C">
        <w:t>zeměměřictví</w:t>
      </w:r>
      <w:r w:rsidR="00845C50" w:rsidRPr="0092524C">
        <w:t xml:space="preserve"> a</w:t>
      </w:r>
      <w:r w:rsidR="00092CC9" w:rsidRPr="0092524C">
        <w:t xml:space="preserve"> o </w:t>
      </w:r>
      <w:r w:rsidR="0035531B" w:rsidRPr="0092524C">
        <w:t>změně</w:t>
      </w:r>
      <w:r w:rsidR="00845C50" w:rsidRPr="0092524C">
        <w:t xml:space="preserve"> a </w:t>
      </w:r>
      <w:r w:rsidR="0035531B" w:rsidRPr="0092524C">
        <w:t>doplnění některých zákonů souvisejících</w:t>
      </w:r>
      <w:r w:rsidR="00845C50" w:rsidRPr="0092524C">
        <w:t xml:space="preserve"> s </w:t>
      </w:r>
      <w:r w:rsidR="0035531B" w:rsidRPr="0092524C">
        <w:t>jeho zavedením, ve znění pozdějších předpisů</w:t>
      </w:r>
      <w:r w:rsidR="00F62556" w:rsidRPr="0092524C">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w:t>
      </w:r>
      <w:r w:rsidR="000D0DE7">
        <w:lastRenderedPageBreak/>
        <w:t xml:space="preserve">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92524C">
        <w:t xml:space="preserve">V případě, že je v seznamu členů odborného personálu dodavatele ve funkci </w:t>
      </w:r>
      <w:r w:rsidR="0050329F" w:rsidRPr="0092524C">
        <w:t xml:space="preserve">autorizovaného </w:t>
      </w:r>
      <w:r w:rsidRPr="0092524C">
        <w:t xml:space="preserve">zeměměřického inženýra dodavatelem uvedeno za účelem prokázání kvalifikace více osob, zadavatel požaduje, aby požadovaný rozsah </w:t>
      </w:r>
      <w:r w:rsidR="0050329F" w:rsidRPr="0092524C">
        <w:t xml:space="preserve">autorizace </w:t>
      </w:r>
      <w:r w:rsidRPr="0092524C">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92524C">
        <w:t xml:space="preserve"> 16f</w:t>
      </w:r>
      <w:r w:rsidRPr="0092524C">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61899BFB" w:rsidR="0035531B" w:rsidRDefault="008B70C7" w:rsidP="0092524C">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32133FF6" w:rsidR="0035531B" w:rsidRPr="0092524C" w:rsidRDefault="0092524C" w:rsidP="0092524C">
      <w:pPr>
        <w:pStyle w:val="Text1-1"/>
        <w:rPr>
          <w:b/>
          <w:bCs/>
          <w:i/>
          <w:iCs/>
        </w:rPr>
      </w:pPr>
      <w:r w:rsidRPr="0092524C">
        <w:rPr>
          <w:rStyle w:val="Tun9b"/>
          <w:b w:val="0"/>
          <w:bCs/>
          <w:i/>
          <w:iCs/>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w:t>
      </w:r>
      <w:r w:rsidRPr="008B70C7">
        <w:rPr>
          <w:b/>
        </w:rPr>
        <w:lastRenderedPageBreak/>
        <w:t xml:space="preserve">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909C7"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3D6F7E3F"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lastRenderedPageBreak/>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94AFEF7" w:rsidR="00DC3174" w:rsidRPr="00DC3174" w:rsidRDefault="00DC3174" w:rsidP="00DC3174">
      <w:pPr>
        <w:pStyle w:val="Text1-1"/>
        <w:rPr>
          <w:b/>
        </w:rPr>
      </w:pPr>
      <w:r w:rsidRPr="00DC3174">
        <w:rPr>
          <w:rStyle w:val="Tun9b"/>
        </w:rPr>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lastRenderedPageBreak/>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F06ACCB" w14:textId="4D243FE4" w:rsidR="0035531B" w:rsidRDefault="0035531B" w:rsidP="00EE2244">
      <w:pPr>
        <w:pStyle w:val="Odrka1-1"/>
        <w:numPr>
          <w:ilvl w:val="0"/>
          <w:numId w:val="0"/>
        </w:numPr>
        <w:ind w:left="1077"/>
      </w:pPr>
    </w:p>
    <w:p w14:paraId="0E1F929C" w14:textId="6F9D9CF4" w:rsidR="0035531B" w:rsidRDefault="0035531B" w:rsidP="00EE2244">
      <w:pPr>
        <w:pStyle w:val="Odrka1-1"/>
      </w:pPr>
      <w:r w:rsidRPr="00C4078E">
        <w:t>Specifikaci</w:t>
      </w:r>
      <w:r>
        <w:t xml:space="preserve"> </w:t>
      </w:r>
      <w:r w:rsidRPr="00657B85">
        <w:t xml:space="preserve">typu </w:t>
      </w:r>
      <w:r w:rsidR="00EF6C46" w:rsidRPr="00657B85">
        <w:t xml:space="preserve">sdělovacího zařízení, </w:t>
      </w:r>
      <w:r w:rsidRPr="00657B85">
        <w:t>zařízení elektrotechniky</w:t>
      </w:r>
      <w:r w:rsidR="00845C50" w:rsidRPr="00657B85">
        <w:t xml:space="preserve"> a </w:t>
      </w:r>
      <w:r w:rsidRPr="00657B85">
        <w:t>energetiky, které bude dodavatelem určeno</w:t>
      </w:r>
      <w:r w:rsidR="00BC6D2B" w:rsidRPr="00657B85">
        <w:t xml:space="preserve"> k </w:t>
      </w:r>
      <w:r w:rsidRPr="00657B85">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657B85" w:rsidRPr="003F3D23">
        <w:t xml:space="preserve">prvky trakčního vedení AC 25kV, </w:t>
      </w:r>
      <w:proofErr w:type="gramStart"/>
      <w:r w:rsidR="00657B85" w:rsidRPr="003F3D23">
        <w:t>50Hz</w:t>
      </w:r>
      <w:proofErr w:type="gramEnd"/>
      <w:r w:rsidR="00657B85" w:rsidRPr="003F3D23">
        <w:t>: trakční stožáry, izolátory, děliče, trakční spínací prvky a jejich pohony</w:t>
      </w:r>
      <w:r w:rsidR="00657B85">
        <w:t xml:space="preserve"> a dále prvky přenosového zařízení</w:t>
      </w:r>
      <w:r w:rsidR="00657B85" w:rsidRPr="003F3D23">
        <w:t>.</w:t>
      </w:r>
    </w:p>
    <w:p w14:paraId="6C481A40" w14:textId="0C9B3C7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 xml:space="preserve">tom, zda budou na staveništi působit zaměstnanci více než jednoho zhotovitele ve smyslu § 14 odst. 1 zákona č. </w:t>
      </w:r>
      <w:r>
        <w:lastRenderedPageBreak/>
        <w:t>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42692533"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074D4D">
        <w:rPr>
          <w:rStyle w:val="Tun9b"/>
          <w:b w:val="0"/>
        </w:rPr>
        <w:t>,</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Pr="00074D4D" w:rsidRDefault="00322579" w:rsidP="00322579">
      <w:pPr>
        <w:pStyle w:val="Odrka1-1"/>
        <w:rPr>
          <w:b/>
          <w:bCs/>
        </w:rPr>
      </w:pPr>
      <w:r w:rsidRPr="00322579">
        <w:lastRenderedPageBreak/>
        <w:t xml:space="preserve">Zadavatel si vyhrazuje požadavek, že níže uvedené významné činnosti při plnění veřejné zakázky musí být plněny přímo vybraným dodavatelem vlastními prostředky (resp. některým z dodavatelů, kteří případně podali nabídku v rámci společné </w:t>
      </w:r>
      <w:r w:rsidRPr="00074D4D">
        <w:t>účasti)</w:t>
      </w:r>
      <w:r w:rsidR="0035531B" w:rsidRPr="00074D4D">
        <w:t>:</w:t>
      </w:r>
    </w:p>
    <w:p w14:paraId="091F809F" w14:textId="037DFBE1" w:rsidR="0035531B" w:rsidRDefault="00074D4D" w:rsidP="0060115D">
      <w:pPr>
        <w:pStyle w:val="Textbezslovn"/>
        <w:ind w:left="1077"/>
      </w:pPr>
      <w:r w:rsidRPr="00074D4D">
        <w:rPr>
          <w:b/>
          <w:bCs/>
        </w:rPr>
        <w:t xml:space="preserve">SO 20-01-01 </w:t>
      </w:r>
      <w:proofErr w:type="spellStart"/>
      <w:r w:rsidRPr="00074D4D">
        <w:rPr>
          <w:b/>
          <w:bCs/>
        </w:rPr>
        <w:t>Sps</w:t>
      </w:r>
      <w:proofErr w:type="spellEnd"/>
      <w:r w:rsidRPr="00074D4D">
        <w:rPr>
          <w:b/>
          <w:bCs/>
        </w:rPr>
        <w:t xml:space="preserve"> Rohatec, trakční </w:t>
      </w:r>
      <w:proofErr w:type="gramStart"/>
      <w:r w:rsidRPr="00074D4D">
        <w:rPr>
          <w:b/>
          <w:bCs/>
        </w:rPr>
        <w:t>vedení - ve</w:t>
      </w:r>
      <w:proofErr w:type="gramEnd"/>
      <w:r w:rsidRPr="00074D4D">
        <w:rPr>
          <w:b/>
          <w:bCs/>
        </w:rPr>
        <w:t xml:space="preserve"> stavbě „Úprava neutrálních úseků u </w:t>
      </w:r>
      <w:proofErr w:type="spellStart"/>
      <w:r w:rsidRPr="00074D4D">
        <w:rPr>
          <w:b/>
          <w:bCs/>
        </w:rPr>
        <w:t>Sps</w:t>
      </w:r>
      <w:proofErr w:type="spellEnd"/>
      <w:r w:rsidRPr="00074D4D">
        <w:rPr>
          <w:b/>
          <w:bCs/>
        </w:rPr>
        <w:t xml:space="preserve"> Rohatec“</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1C7C204B" w:rsidR="0035531B" w:rsidRDefault="0035531B" w:rsidP="00322579">
      <w:pPr>
        <w:pStyle w:val="Odrka1-1"/>
      </w:pPr>
      <w:r>
        <w:t xml:space="preserve">Výše uvedené vyhrazené části plnění veřejné zakázky jsou </w:t>
      </w:r>
      <w:r w:rsidRPr="00074D4D">
        <w:t xml:space="preserve">tvořeny </w:t>
      </w:r>
      <w:r w:rsidR="00170521" w:rsidRPr="00074D4D">
        <w:t>SO</w:t>
      </w:r>
      <w:r w:rsidR="00074D4D">
        <w:t xml:space="preserve"> 20-01-01 </w:t>
      </w:r>
      <w:proofErr w:type="spellStart"/>
      <w:r w:rsidR="00074D4D">
        <w:t>Sps</w:t>
      </w:r>
      <w:proofErr w:type="spellEnd"/>
      <w:r w:rsidR="00074D4D">
        <w:t xml:space="preserve"> Rohatec, trakční vedení</w:t>
      </w:r>
      <w:r>
        <w:t>, je</w:t>
      </w:r>
      <w:r w:rsidR="00074D4D">
        <w:t>hož</w:t>
      </w:r>
      <w:r>
        <w:t xml:space="preserve"> provádění má důležitý význam pro </w:t>
      </w:r>
      <w:r w:rsidR="00074D4D">
        <w:t>spolehlivé provozování nově budovaných neutrálních polí trakčního vedení, a tedy i železniční dopravy a související bezpečnosti provozu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1837D39" w:rsidR="0035531B" w:rsidRDefault="00322579" w:rsidP="00322579">
      <w:pPr>
        <w:pStyle w:val="Odrka1-1"/>
      </w:pPr>
      <w:r w:rsidRPr="00322579">
        <w:t xml:space="preserve">Výše uvedené vyhrazené části plnění veřejné zakázky představují svou finanční hodnotou celkem cca </w:t>
      </w:r>
      <w:r w:rsidR="00074D4D">
        <w:t>93 %</w:t>
      </w:r>
      <w:r w:rsidRPr="00322579">
        <w:t xml:space="preserve"> z předmětu plnění</w:t>
      </w:r>
      <w:r w:rsidR="00F055F9">
        <w:t xml:space="preserve"> stavby 1 „Úprava neutrálních úseků u </w:t>
      </w:r>
      <w:proofErr w:type="spellStart"/>
      <w:r w:rsidR="00F055F9">
        <w:t>Sps</w:t>
      </w:r>
      <w:proofErr w:type="spellEnd"/>
      <w:r w:rsidR="00F055F9">
        <w:t xml:space="preserve"> Rohatec“</w:t>
      </w:r>
      <w:r w:rsidRPr="00322579">
        <w:t xml:space="preserve">.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517F25EC" w:rsidR="0035531B" w:rsidRPr="00662920" w:rsidRDefault="0035531B" w:rsidP="0060115D">
      <w:pPr>
        <w:pStyle w:val="Odrka1-2-"/>
      </w:pPr>
      <w:r w:rsidRPr="00662920">
        <w:rPr>
          <w:u w:val="single"/>
        </w:rPr>
        <w:t>profesní způsobilost týkající se oprávnění</w:t>
      </w:r>
      <w:r w:rsidR="00BC6D2B" w:rsidRPr="00662920">
        <w:rPr>
          <w:u w:val="single"/>
        </w:rPr>
        <w:t xml:space="preserve"> k </w:t>
      </w:r>
      <w:r w:rsidRPr="00662920">
        <w:rPr>
          <w:u w:val="single"/>
        </w:rPr>
        <w:t>podnikání</w:t>
      </w:r>
      <w:r w:rsidR="00092CC9" w:rsidRPr="00662920">
        <w:rPr>
          <w:u w:val="single"/>
        </w:rPr>
        <w:t xml:space="preserve"> v </w:t>
      </w:r>
      <w:r w:rsidRPr="00662920">
        <w:rPr>
          <w:u w:val="single"/>
        </w:rPr>
        <w:t>rozsahu</w:t>
      </w:r>
      <w:r w:rsidRPr="00662920">
        <w:t xml:space="preserve"> živnosti </w:t>
      </w:r>
      <w:r w:rsidRPr="00662920">
        <w:rPr>
          <w:b/>
          <w:bCs/>
        </w:rPr>
        <w:t>provádění staveb, jejich změn</w:t>
      </w:r>
      <w:r w:rsidR="00845C50" w:rsidRPr="00662920">
        <w:rPr>
          <w:b/>
          <w:bCs/>
        </w:rPr>
        <w:t xml:space="preserve"> a </w:t>
      </w:r>
      <w:r w:rsidRPr="00662920">
        <w:rPr>
          <w:b/>
          <w:bCs/>
        </w:rPr>
        <w:t>odstraňování</w:t>
      </w:r>
      <w:r w:rsidR="00662920" w:rsidRPr="00662920">
        <w:t xml:space="preserve"> a </w:t>
      </w:r>
      <w:r w:rsidR="00662920" w:rsidRPr="00662920">
        <w:rPr>
          <w:b/>
          <w:bCs/>
        </w:rPr>
        <w:t>r</w:t>
      </w:r>
      <w:r w:rsidR="00662920" w:rsidRPr="00662920">
        <w:rPr>
          <w:rFonts w:eastAsia="Times New Roman" w:cs="Arial"/>
          <w:b/>
          <w:bCs/>
          <w:lang w:eastAsia="cs-CZ"/>
        </w:rPr>
        <w:t>evize, prohlídky a zkoušky určených technických zařízení v provozu</w:t>
      </w:r>
      <w:r w:rsidRPr="00662920">
        <w:t>;</w:t>
      </w:r>
    </w:p>
    <w:p w14:paraId="677B892B" w14:textId="5D870E86" w:rsidR="00AA2C03" w:rsidRDefault="0035531B" w:rsidP="0060115D">
      <w:pPr>
        <w:pStyle w:val="Odrka1-2-"/>
      </w:pPr>
      <w:r w:rsidRPr="00662920">
        <w:rPr>
          <w:u w:val="single"/>
        </w:rPr>
        <w:t>profesní způsobilost týkající se předložení dokladu</w:t>
      </w:r>
      <w:r w:rsidR="00092CC9" w:rsidRPr="00662920">
        <w:rPr>
          <w:u w:val="single"/>
        </w:rPr>
        <w:t xml:space="preserve"> o </w:t>
      </w:r>
      <w:r w:rsidRPr="00662920">
        <w:rPr>
          <w:u w:val="single"/>
        </w:rPr>
        <w:t>autorizaci</w:t>
      </w:r>
      <w:r w:rsidR="00092CC9" w:rsidRPr="00662920">
        <w:rPr>
          <w:u w:val="single"/>
        </w:rPr>
        <w:t xml:space="preserve"> v </w:t>
      </w:r>
      <w:r w:rsidR="00BB4AF2" w:rsidRPr="00662920">
        <w:rPr>
          <w:u w:val="single"/>
        </w:rPr>
        <w:t>rozsahu</w:t>
      </w:r>
      <w:r w:rsidR="00BB4AF2">
        <w:t xml:space="preserve"> dle § </w:t>
      </w:r>
      <w:r>
        <w:t>5 odst</w:t>
      </w:r>
      <w:r w:rsidRPr="00662920">
        <w:t>. 3 písm</w:t>
      </w:r>
      <w:r w:rsidRPr="00662920">
        <w:rPr>
          <w:b/>
          <w:bCs/>
        </w:rPr>
        <w:t xml:space="preserve">. </w:t>
      </w:r>
      <w:r w:rsidR="00662920" w:rsidRPr="00662920">
        <w:rPr>
          <w:b/>
          <w:bCs/>
        </w:rPr>
        <w:t>e)</w:t>
      </w:r>
      <w:r>
        <w:t xml:space="preserve"> autorizačního zákona; </w:t>
      </w:r>
    </w:p>
    <w:p w14:paraId="094A2EF6" w14:textId="29378906" w:rsidR="0035531B" w:rsidRPr="00BC6D2B" w:rsidRDefault="00AA2C03" w:rsidP="00AA2C03">
      <w:pPr>
        <w:pStyle w:val="Odrka1-2-"/>
        <w:rPr>
          <w:i/>
          <w:color w:val="FF0000"/>
        </w:rPr>
      </w:pPr>
      <w:r w:rsidRPr="00662920">
        <w:rPr>
          <w:u w:val="single"/>
        </w:rPr>
        <w:t>požadavek kritéria technické kvalifikace na doložení seznamem a osvědčením</w:t>
      </w:r>
      <w:r w:rsidRPr="00AA2C03">
        <w:t xml:space="preserve"> </w:t>
      </w:r>
      <w:r w:rsidRPr="00662920">
        <w:rPr>
          <w:b/>
          <w:bCs/>
        </w:rPr>
        <w:t xml:space="preserve">alespoň </w:t>
      </w:r>
      <w:r w:rsidR="00662920" w:rsidRPr="00662920">
        <w:rPr>
          <w:b/>
          <w:bCs/>
        </w:rPr>
        <w:t>dvou stavebních prací</w:t>
      </w:r>
      <w:r w:rsidRPr="00AA2C03">
        <w:t>, jej</w:t>
      </w:r>
      <w:r w:rsidR="00662920">
        <w:t>ichž</w:t>
      </w:r>
      <w:r w:rsidRPr="00AA2C03">
        <w:t xml:space="preserve"> předmětem byla novostavba</w:t>
      </w:r>
      <w:r w:rsidR="00EC3176">
        <w:t>,</w:t>
      </w:r>
      <w:r w:rsidRPr="00AA2C03">
        <w:t xml:space="preserve"> rekonstrukce</w:t>
      </w:r>
      <w:r w:rsidR="00EC3176">
        <w:t xml:space="preserve"> nebo oprava</w:t>
      </w:r>
      <w:r w:rsidRPr="00AA2C03">
        <w:t xml:space="preserve"> </w:t>
      </w:r>
      <w:r w:rsidR="00662920">
        <w:t xml:space="preserve">pevných trakčních zařízení na střídavou trakci 25 </w:t>
      </w:r>
      <w:proofErr w:type="spellStart"/>
      <w:r w:rsidR="00662920">
        <w:t>kV</w:t>
      </w:r>
      <w:proofErr w:type="spellEnd"/>
      <w:r w:rsidR="00662920">
        <w:t>, 50 Hz</w:t>
      </w:r>
      <w:r w:rsidRPr="00AA2C03">
        <w:t xml:space="preserve">, přičemž </w:t>
      </w:r>
      <w:r w:rsidR="008E05B6">
        <w:t>z</w:t>
      </w:r>
      <w:r w:rsidRPr="00AA2C03">
        <w:t xml:space="preserve"> předložené</w:t>
      </w:r>
      <w:r w:rsidR="008E05B6">
        <w:t>ho</w:t>
      </w:r>
      <w:r w:rsidRPr="00AA2C03">
        <w:t xml:space="preserve"> seznamu nebo osvědčení musí </w:t>
      </w:r>
      <w:r w:rsidR="008E05B6">
        <w:t>vyplývat</w:t>
      </w:r>
      <w:r w:rsidRPr="00AA2C03">
        <w:t>, že výše uvedené části předmětu plnění stavebních prací, které nelze prokazovat prostřednictvím poddodavatele</w:t>
      </w:r>
      <w:r w:rsidR="008E05B6">
        <w:t>,</w:t>
      </w:r>
      <w:r w:rsidRPr="00AA2C03">
        <w:t xml:space="preserve"> </w:t>
      </w:r>
      <w:r w:rsidR="003F4A97">
        <w:t xml:space="preserve">resp. osoby, která nemůže plnit činnosti při plnění veřejné zakázky vyhrazené výše v tomto článku, </w:t>
      </w:r>
      <w:r w:rsidRPr="00AA2C03">
        <w:t xml:space="preserve">prováděl v referenční zakázce dodavatel </w:t>
      </w:r>
      <w:r w:rsidR="00E64245">
        <w:t xml:space="preserve">či 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t>;</w:t>
      </w:r>
    </w:p>
    <w:p w14:paraId="1BCC392C" w14:textId="78AB8C5E" w:rsidR="0035531B" w:rsidRDefault="0035531B" w:rsidP="00662920">
      <w:pPr>
        <w:pStyle w:val="Odrka1-2-"/>
      </w:pPr>
      <w:r w:rsidRPr="00662920">
        <w:rPr>
          <w:u w:val="single"/>
        </w:rPr>
        <w:t>požadavek kritéria technické kvalifikace na předložení seznamu odborného personálu dodavatele</w:t>
      </w:r>
      <w:r w:rsidR="00092CC9" w:rsidRPr="00662920">
        <w:rPr>
          <w:u w:val="single"/>
        </w:rPr>
        <w:t xml:space="preserve"> v </w:t>
      </w:r>
      <w:r w:rsidRPr="00662920">
        <w:rPr>
          <w:u w:val="single"/>
        </w:rPr>
        <w:t>rozsahu</w:t>
      </w:r>
      <w:r>
        <w:t xml:space="preserve"> funkce </w:t>
      </w:r>
      <w:r w:rsidR="00662920" w:rsidRPr="00662920">
        <w:rPr>
          <w:b/>
          <w:bCs/>
        </w:rPr>
        <w:t>stavbyvedoucí</w:t>
      </w:r>
      <w:r w:rsidR="00662920">
        <w:t xml:space="preserve">, </w:t>
      </w:r>
      <w:r w:rsidR="00662920" w:rsidRPr="00662920">
        <w:rPr>
          <w:b/>
          <w:bCs/>
        </w:rPr>
        <w:t>zástupce stavbyvedoucího</w:t>
      </w:r>
      <w:r w:rsidR="00662920">
        <w:t xml:space="preserve"> a </w:t>
      </w:r>
      <w:r w:rsidR="00662920" w:rsidRPr="00662920">
        <w:rPr>
          <w:b/>
          <w:bCs/>
        </w:rPr>
        <w:t>specialisty (vedoucího prací) na trakční vedení</w:t>
      </w:r>
      <w:r w:rsidR="00AA2C03">
        <w:t>.</w:t>
      </w:r>
    </w:p>
    <w:p w14:paraId="5236B8F5" w14:textId="77777777" w:rsidR="00662920" w:rsidRDefault="00662920" w:rsidP="00662920">
      <w:pPr>
        <w:pStyle w:val="Odrka1-2-"/>
        <w:numPr>
          <w:ilvl w:val="0"/>
          <w:numId w:val="0"/>
        </w:numPr>
        <w:ind w:left="1531"/>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30C87A4F" w:rsidR="00616090" w:rsidRDefault="00616090" w:rsidP="00616090">
      <w:pPr>
        <w:pStyle w:val="Odrka1-2-"/>
      </w:pPr>
      <w:r>
        <w:t>do těla závazného vzoru smlouvy celkovou nabídkovou cenu díla</w:t>
      </w:r>
      <w:r w:rsidR="00A62236">
        <w:t xml:space="preserve"> (tj. Cena díla souboru staveb) a nabídkovou cenu jednotlivých staveb (tj. Cena Díla stavby 1 a Cena Díla stavby 2)</w:t>
      </w:r>
      <w:r>
        <w:t xml:space="preserve">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lastRenderedPageBreak/>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29859509" w:rsidR="0035531B" w:rsidRPr="006D49FE" w:rsidRDefault="00CD2E13" w:rsidP="006D49FE">
      <w:pPr>
        <w:pStyle w:val="Textbezslovn"/>
        <w:rPr>
          <w:b/>
        </w:rPr>
      </w:pPr>
      <w:r w:rsidRPr="00662920">
        <w:rPr>
          <w:rFonts w:cs="Arial"/>
          <w:b/>
        </w:rPr>
        <w:t>Nabídky lze podat v termínu, který je uveden na profilu zadavatele:</w:t>
      </w:r>
      <w:r w:rsidRPr="00662920">
        <w:rPr>
          <w:rFonts w:cs="Arial"/>
        </w:rPr>
        <w:t xml:space="preserve"> </w:t>
      </w:r>
      <w:hyperlink r:id="rId22" w:history="1">
        <w:r w:rsidRPr="00662920">
          <w:rPr>
            <w:rStyle w:val="Hypertextovodkaz"/>
            <w:rFonts w:cs="Arial"/>
            <w:b/>
            <w:bCs/>
            <w:lang w:eastAsia="cs-CZ"/>
          </w:rPr>
          <w:t>https://zakazky.spravazeleznic.cz/</w:t>
        </w:r>
      </w:hyperlink>
      <w:r w:rsidRPr="00662920">
        <w:rPr>
          <w:rFonts w:cs="Arial"/>
          <w:b/>
        </w:rPr>
        <w:t>.</w:t>
      </w:r>
    </w:p>
    <w:p w14:paraId="6C5E1089" w14:textId="426BB15E" w:rsidR="003A0E3D" w:rsidRDefault="003F78E7" w:rsidP="006D49FE">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8627FD9"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662920" w:rsidRDefault="00695DAA" w:rsidP="00695DAA">
      <w:pPr>
        <w:pStyle w:val="Odrka1-1"/>
      </w:pPr>
      <w:r w:rsidRPr="00662920">
        <w:t>Harmonogram postupu prací zpracovaný podle požadavků zadavatele stanovených v článku 9.1 této Výzvy.</w:t>
      </w:r>
    </w:p>
    <w:p w14:paraId="5BCB91B5" w14:textId="308E3612" w:rsidR="00695DAA" w:rsidRPr="00662920" w:rsidRDefault="00695DAA" w:rsidP="00695DAA">
      <w:pPr>
        <w:pStyle w:val="Odrka1-1"/>
      </w:pPr>
      <w:r w:rsidRPr="00662920">
        <w:t xml:space="preserve">Specifikace typu </w:t>
      </w:r>
      <w:r w:rsidR="00EF6C46" w:rsidRPr="00662920">
        <w:t xml:space="preserve">sdělovacího zařízení, </w:t>
      </w:r>
      <w:r w:rsidRPr="00662920">
        <w:t>zařízení elektrotechniky a energetiky dle č.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9DA7F74" w:rsidR="0035531B" w:rsidRPr="006D49FE" w:rsidRDefault="00695DAA" w:rsidP="00695DAA">
      <w:pPr>
        <w:pStyle w:val="Odrka1-1"/>
      </w:pPr>
      <w:r>
        <w:t xml:space="preserve">Oceněný Soupis prací </w:t>
      </w:r>
      <w:r w:rsidR="00BB0379">
        <w:t>obsažený</w:t>
      </w:r>
      <w:r>
        <w:t xml:space="preserve"> v Dílu 4 zadávací </w:t>
      </w:r>
      <w:r w:rsidRPr="006D49FE">
        <w:t>dokumentace</w:t>
      </w:r>
      <w:r w:rsidR="00BB0379" w:rsidRPr="006D49FE">
        <w:t>, včetně Rekapitulace ceny dle SO a PS</w:t>
      </w:r>
      <w:r w:rsidR="0035531B" w:rsidRPr="006D49FE">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0D3C6FA" w:rsidR="00EE50B6" w:rsidRDefault="004C086E" w:rsidP="00662920">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5500C53"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662920">
        <w:t xml:space="preserve">Ve stejném poměru, v jakém dojde k úpravě smluvní ceny pro účely smlouvy s novým dodavatelem oproti nabídce nového dodavatele předložené ve výběrovém řízení, se upraví též výše bankovní </w:t>
      </w:r>
      <w:r w:rsidR="00C01E17" w:rsidRPr="00662920">
        <w:t xml:space="preserve">či pojistné </w:t>
      </w:r>
      <w:r w:rsidRPr="00662920">
        <w:t>záruky k zajištění plnění Smlouvy (</w:t>
      </w:r>
      <w:r w:rsidR="00C01E17" w:rsidRPr="00662920">
        <w:t>Bankovní záruka za provedení Díla a Pojistná záruka za provedení Díla</w:t>
      </w:r>
      <w:r w:rsidRPr="00662920">
        <w:t>).</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t>HODNOCENÍ NABÍDEK</w:t>
      </w:r>
      <w:bookmarkEnd w:id="20"/>
    </w:p>
    <w:p w14:paraId="54E464B2" w14:textId="0D72ED54" w:rsidR="0035531B" w:rsidRDefault="007B3D4D" w:rsidP="007B3D4D">
      <w:pPr>
        <w:pStyle w:val="Text1-1"/>
      </w:pPr>
      <w:r w:rsidRPr="007B3D4D">
        <w:t xml:space="preserve">Nabídky budou hodnoceny podle jejich ekonomické výhodnosti. Ekonomickou výhodnost bude zadavatel hodnotit podle nejnižší </w:t>
      </w:r>
      <w:r w:rsidR="007779E9">
        <w:t xml:space="preserve">celkové </w:t>
      </w:r>
      <w:r w:rsidRPr="007B3D4D">
        <w:t>nabídkové ceny</w:t>
      </w:r>
      <w:r w:rsidR="007779E9">
        <w:t xml:space="preserve"> za obě stavby</w:t>
      </w:r>
      <w:r w:rsidRPr="007B3D4D">
        <w:t>. V případě, že ve lhůtě pro podání nabídek bude podána pouze jediná nabídka, hodnocení se neprovede</w:t>
      </w:r>
      <w:r w:rsidR="0035531B">
        <w:t>.</w:t>
      </w:r>
    </w:p>
    <w:p w14:paraId="58F7D0E9" w14:textId="49980DC2" w:rsidR="0035531B" w:rsidRDefault="007B3D4D" w:rsidP="0034455B">
      <w:pPr>
        <w:pStyle w:val="Text1-1"/>
      </w:pPr>
      <w:r w:rsidRPr="007B3D4D">
        <w:t>V rámci hodnotícího kritéria bude hodnocena výše nabídkové ceny</w:t>
      </w:r>
      <w:r w:rsidR="00A62236">
        <w:t xml:space="preserve"> </w:t>
      </w:r>
      <w:r w:rsidRPr="007B3D4D">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w:t>
      </w:r>
      <w:r w:rsidR="0034455B" w:rsidRPr="0034455B">
        <w:lastRenderedPageBreak/>
        <w:t>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8380803"/>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881756B" w:rsidR="0018364C" w:rsidRDefault="007B3D4D" w:rsidP="00FA5F1A">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2ACC89C4" w14:textId="670A71C5" w:rsidR="005D4921" w:rsidRDefault="007B3D4D" w:rsidP="00FA5F1A">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5838080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6BB6F2E"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FA5F1A">
        <w:t xml:space="preserve">uvedené v článku 19.3, resp. v článku 19.4 </w:t>
      </w:r>
      <w:r w:rsidR="005909AC" w:rsidRPr="00FA5F1A">
        <w:t xml:space="preserve">až </w:t>
      </w:r>
      <w:r w:rsidR="007A2277" w:rsidRPr="00FA5F1A">
        <w:t>19.9</w:t>
      </w:r>
      <w:r w:rsidR="005909AC" w:rsidRPr="00FA5F1A">
        <w:t xml:space="preserve"> </w:t>
      </w:r>
      <w:r w:rsidRPr="00FA5F1A">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či výběrovém řízení a současně sdělí název či jinou identifikaci tohoto předchozího řízení)</w:t>
      </w:r>
      <w:r w:rsidR="00B07880">
        <w:t>;</w:t>
      </w:r>
    </w:p>
    <w:p w14:paraId="7BED9785" w14:textId="2FA4FEAB"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64DAB510" w14:textId="0E34C843"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8AD5F9F" w14:textId="3D84C86B" w:rsidR="0035531B" w:rsidRDefault="001B5ED5" w:rsidP="00FA5F1A">
      <w:pPr>
        <w:pStyle w:val="Odrka1-1"/>
      </w:pPr>
      <w:r>
        <w:t xml:space="preserve">kopie smlouvy uzavřené s výrobcem nebo </w:t>
      </w:r>
      <w:r w:rsidRPr="00FA5F1A">
        <w:t xml:space="preserve">dodavatelem </w:t>
      </w:r>
      <w:r w:rsidR="00EF6C46" w:rsidRPr="00FA5F1A">
        <w:t xml:space="preserve">sdělovacího zařízení, </w:t>
      </w:r>
      <w:r w:rsidRPr="00FA5F1A">
        <w:t xml:space="preserve">zařízení elektrotechniky a energetiky </w:t>
      </w:r>
      <w:r w:rsidR="008716A2" w:rsidRPr="00FA5F1A">
        <w:t>či jednostranného vyjá</w:t>
      </w:r>
      <w:r w:rsidR="008716A2">
        <w:t xml:space="preserve">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26352A5B"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FA5F1A">
        <w:t>to elektrických UTZ</w:t>
      </w:r>
      <w:r>
        <w:t xml:space="preserve"> železničních drah</w:t>
      </w:r>
      <w:r w:rsidR="00092CC9">
        <w:t xml:space="preserve"> v </w:t>
      </w:r>
      <w:r>
        <w:t xml:space="preserve">rozsahu: </w:t>
      </w:r>
    </w:p>
    <w:p w14:paraId="2822D230" w14:textId="77777777" w:rsidR="00FA5F1A" w:rsidRPr="00452179" w:rsidRDefault="00FA5F1A" w:rsidP="00FA5F1A">
      <w:pPr>
        <w:pStyle w:val="Odrka1-2-"/>
        <w:rPr>
          <w:strike/>
        </w:rPr>
      </w:pPr>
      <w:r w:rsidRPr="00452179">
        <w:t xml:space="preserve">elektrické sítě drah a elektrické rozvody </w:t>
      </w:r>
    </w:p>
    <w:p w14:paraId="1E04D8C5" w14:textId="5AE635CE" w:rsidR="007D5A8D" w:rsidRDefault="00FA5F1A" w:rsidP="00FA5F1A">
      <w:pPr>
        <w:pStyle w:val="Odrka1-2-"/>
      </w:pPr>
      <w:r w:rsidRPr="00FC4BAC">
        <w:rPr>
          <w:rFonts w:ascii="Verdana" w:eastAsia="Verdana" w:hAnsi="Verdana" w:cs="Times New Roman"/>
        </w:rPr>
        <w:t>elektrická zařízení napájená z t</w:t>
      </w:r>
      <w:r>
        <w:rPr>
          <w:rFonts w:ascii="Verdana" w:eastAsia="Verdana" w:hAnsi="Verdana" w:cs="Times New Roman"/>
        </w:rPr>
        <w:t>r</w:t>
      </w:r>
      <w:r w:rsidRPr="00FC4BAC">
        <w:rPr>
          <w:rFonts w:ascii="Verdana" w:eastAsia="Verdana" w:hAnsi="Verdana" w:cs="Times New Roman"/>
        </w:rPr>
        <w:t>akčního vedení</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AF20AA">
        <w:lastRenderedPageBreak/>
        <w:t>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86BDE07"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w:t>
      </w:r>
      <w:r>
        <w:lastRenderedPageBreak/>
        <w:t xml:space="preserve">uzavřením smlouvy prostřednictvím jiné osoby, je povinen předložit veškeré doklady požadované </w:t>
      </w:r>
      <w:r w:rsidRPr="00FA5F1A">
        <w:t>dle čl. 8.10</w:t>
      </w:r>
      <w:r w:rsidR="007A2277" w:rsidRPr="00FA5F1A">
        <w:t xml:space="preserve"> </w:t>
      </w:r>
      <w:r w:rsidRPr="00FA5F1A">
        <w:t>Výzvy</w:t>
      </w:r>
      <w:r>
        <w:t xml:space="preserve">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6D6F4D2B" w:rsidR="00595B2D" w:rsidRDefault="004F6CAF" w:rsidP="00FA5F1A">
      <w:pPr>
        <w:pStyle w:val="Odrka1-1"/>
      </w:pPr>
      <w:r>
        <w:t>studentské exkurze</w:t>
      </w:r>
      <w:r w:rsidR="00FA5F1A">
        <w:t>.</w:t>
      </w:r>
    </w:p>
    <w:p w14:paraId="49F0953E" w14:textId="6F658BEE"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FA5F1A">
        <w:t>ustanoveních článku 4.9 závazného vzoru smlouvy, který je dílem 2 zadávací dokumentace.</w:t>
      </w:r>
    </w:p>
    <w:p w14:paraId="1AD277E7" w14:textId="5D6329A1" w:rsidR="00261024" w:rsidRDefault="0026102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lastRenderedPageBreak/>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 xml:space="preserve">nařízení Rady </w:t>
      </w:r>
      <w:r w:rsidR="00160425" w:rsidRPr="00D4247C">
        <w:rPr>
          <w:rStyle w:val="normaltextrun"/>
          <w:rFonts w:ascii="Verdana" w:hAnsi="Verdana"/>
          <w:bCs/>
          <w:bdr w:val="none" w:sz="0" w:space="0" w:color="auto" w:frame="1"/>
        </w:rPr>
        <w:lastRenderedPageBreak/>
        <w:t>(EU)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FA5F1A" w:rsidRDefault="0035531B" w:rsidP="00564DDD">
      <w:pPr>
        <w:pStyle w:val="Textbezslovn"/>
        <w:spacing w:after="0"/>
      </w:pPr>
      <w:r>
        <w:t>V</w:t>
      </w:r>
      <w:r w:rsidR="00B36181">
        <w:t> </w:t>
      </w:r>
      <w:r w:rsidRPr="00FA5F1A">
        <w:t xml:space="preserve">Praze </w:t>
      </w:r>
    </w:p>
    <w:p w14:paraId="26A13A79" w14:textId="77777777" w:rsidR="0035531B" w:rsidRPr="00FA5F1A" w:rsidRDefault="0035531B" w:rsidP="00564DDD">
      <w:pPr>
        <w:pStyle w:val="Textbezslovn"/>
        <w:spacing w:after="0"/>
      </w:pPr>
    </w:p>
    <w:p w14:paraId="124D0D46" w14:textId="3FBF5479" w:rsidR="0035531B" w:rsidRPr="00FA5F1A" w:rsidRDefault="0035531B" w:rsidP="00564DDD">
      <w:pPr>
        <w:pStyle w:val="Textbezslovn"/>
        <w:spacing w:after="0"/>
      </w:pPr>
    </w:p>
    <w:p w14:paraId="2A18705D" w14:textId="5B878A18" w:rsidR="00B35448" w:rsidRPr="00FA5F1A" w:rsidRDefault="00B35448" w:rsidP="00564DDD">
      <w:pPr>
        <w:pStyle w:val="Textbezslovn"/>
        <w:spacing w:after="0"/>
      </w:pPr>
    </w:p>
    <w:p w14:paraId="3102FDB0" w14:textId="77777777" w:rsidR="0035531B" w:rsidRPr="00FA5F1A" w:rsidRDefault="0035531B" w:rsidP="00564DDD">
      <w:pPr>
        <w:pStyle w:val="Textbezslovn"/>
        <w:spacing w:after="0"/>
      </w:pPr>
    </w:p>
    <w:p w14:paraId="5ACB18CF" w14:textId="791DEE18" w:rsidR="0035531B" w:rsidRPr="00FA5F1A" w:rsidRDefault="0035531B" w:rsidP="00564DDD">
      <w:pPr>
        <w:pStyle w:val="Textbezslovn"/>
        <w:spacing w:after="0"/>
      </w:pPr>
      <w:r w:rsidRPr="00FA5F1A">
        <w:t>……………………………………………</w:t>
      </w:r>
      <w:r w:rsidR="00FA5F1A">
        <w:t>…</w:t>
      </w:r>
    </w:p>
    <w:p w14:paraId="3C83AF2A" w14:textId="77777777" w:rsidR="0035531B" w:rsidRPr="00FA5F1A" w:rsidRDefault="0035531B" w:rsidP="00564DDD">
      <w:pPr>
        <w:pStyle w:val="Textbezslovn"/>
        <w:spacing w:after="0"/>
      </w:pPr>
      <w:r w:rsidRPr="00FA5F1A">
        <w:t>Ing. Mojmír Nejezchleb</w:t>
      </w:r>
    </w:p>
    <w:p w14:paraId="22E3C2AA" w14:textId="77777777" w:rsidR="0035531B" w:rsidRDefault="0035531B" w:rsidP="00564DDD">
      <w:pPr>
        <w:pStyle w:val="Textbezslovn"/>
        <w:spacing w:after="0"/>
      </w:pPr>
      <w:r w:rsidRPr="00FA5F1A">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82ED6FA" w:rsidR="008C65E0" w:rsidRDefault="006A6AF2" w:rsidP="006A6AF2">
      <w:pPr>
        <w:pStyle w:val="Textbezslovn"/>
        <w:ind w:left="0"/>
      </w:pPr>
      <w:r w:rsidRPr="006A6AF2">
        <w:t xml:space="preserve">Řádně jsme se seznámili se zněním zadávacích podmínek veřejné zakázky </w:t>
      </w:r>
      <w:r w:rsidR="00A62236">
        <w:t>na</w:t>
      </w:r>
      <w:r w:rsidRPr="006A6AF2">
        <w:t xml:space="preserve"> </w:t>
      </w:r>
      <w:r w:rsidR="00FA5F1A">
        <w:t>soubor staveb</w:t>
      </w:r>
      <w:r w:rsidR="006514CC">
        <w:t xml:space="preserve"> s názvem</w:t>
      </w:r>
      <w:r w:rsidR="00FA5F1A">
        <w:t xml:space="preserve">: </w:t>
      </w:r>
      <w:r w:rsidR="00FA5F1A" w:rsidRPr="00FA5F1A">
        <w:rPr>
          <w:b/>
          <w:bCs/>
        </w:rPr>
        <w:t xml:space="preserve">1) „Úprava neutrálních úseků u </w:t>
      </w:r>
      <w:proofErr w:type="spellStart"/>
      <w:r w:rsidR="00FA5F1A" w:rsidRPr="00FA5F1A">
        <w:rPr>
          <w:b/>
          <w:bCs/>
        </w:rPr>
        <w:t>Sps</w:t>
      </w:r>
      <w:proofErr w:type="spellEnd"/>
      <w:r w:rsidR="00FA5F1A" w:rsidRPr="00FA5F1A">
        <w:rPr>
          <w:b/>
          <w:bCs/>
        </w:rPr>
        <w:t xml:space="preserve"> Rohatec“</w:t>
      </w:r>
      <w:r w:rsidR="00FA5F1A">
        <w:t xml:space="preserve">; </w:t>
      </w:r>
      <w:r w:rsidR="00FA5F1A" w:rsidRPr="00FA5F1A">
        <w:rPr>
          <w:b/>
          <w:bCs/>
        </w:rPr>
        <w:t xml:space="preserve">2) „Rekonstrukce DOÚO a DŘT u </w:t>
      </w:r>
      <w:proofErr w:type="spellStart"/>
      <w:r w:rsidR="00FA5F1A" w:rsidRPr="00FA5F1A">
        <w:rPr>
          <w:b/>
          <w:bCs/>
        </w:rPr>
        <w:t>Sps</w:t>
      </w:r>
      <w:proofErr w:type="spellEnd"/>
      <w:r w:rsidR="00FA5F1A" w:rsidRPr="00FA5F1A">
        <w:rPr>
          <w:b/>
          <w:bCs/>
        </w:rPr>
        <w:t xml:space="preserve"> Rohatec“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FA5F1A">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FA5F1A">
        <w:t xml:space="preserve">výstavbě / </w:t>
      </w:r>
      <w:r w:rsidR="007A2277" w:rsidRPr="00FA5F1A">
        <w:t xml:space="preserve">autorizace pro ověřování výsledků zeměměřických činností </w:t>
      </w:r>
      <w:r w:rsidRPr="00FA5F1A">
        <w:t>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9E1C73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C70E2">
        <w:t xml:space="preserve">soubor staveb: </w:t>
      </w:r>
      <w:r w:rsidR="00BC70E2" w:rsidRPr="00FA5F1A">
        <w:rPr>
          <w:b/>
          <w:bCs/>
        </w:rPr>
        <w:t xml:space="preserve">1) „Úprava neutrálních úseků u </w:t>
      </w:r>
      <w:proofErr w:type="spellStart"/>
      <w:r w:rsidR="00BC70E2" w:rsidRPr="00FA5F1A">
        <w:rPr>
          <w:b/>
          <w:bCs/>
        </w:rPr>
        <w:t>Sps</w:t>
      </w:r>
      <w:proofErr w:type="spellEnd"/>
      <w:r w:rsidR="00BC70E2" w:rsidRPr="00FA5F1A">
        <w:rPr>
          <w:b/>
          <w:bCs/>
        </w:rPr>
        <w:t xml:space="preserve"> Rohatec“</w:t>
      </w:r>
      <w:r w:rsidR="00BC70E2">
        <w:t xml:space="preserve">; </w:t>
      </w:r>
      <w:r w:rsidR="00BC70E2" w:rsidRPr="00FA5F1A">
        <w:rPr>
          <w:b/>
          <w:bCs/>
        </w:rPr>
        <w:t xml:space="preserve">2) „Rekonstrukce DOÚO a DŘT u </w:t>
      </w:r>
      <w:proofErr w:type="spellStart"/>
      <w:r w:rsidR="00BC70E2" w:rsidRPr="00FA5F1A">
        <w:rPr>
          <w:b/>
          <w:bCs/>
        </w:rPr>
        <w:t>Sps</w:t>
      </w:r>
      <w:proofErr w:type="spellEnd"/>
      <w:r w:rsidR="00BC70E2" w:rsidRPr="00FA5F1A">
        <w:rPr>
          <w:b/>
          <w:bCs/>
        </w:rPr>
        <w:t xml:space="preserve"> Rohatec“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B7613" w14:textId="77777777" w:rsidR="00000651" w:rsidRDefault="00000651" w:rsidP="00962258">
      <w:pPr>
        <w:spacing w:after="0" w:line="240" w:lineRule="auto"/>
      </w:pPr>
      <w:r>
        <w:separator/>
      </w:r>
    </w:p>
  </w:endnote>
  <w:endnote w:type="continuationSeparator" w:id="0">
    <w:p w14:paraId="052C3F7C" w14:textId="77777777" w:rsidR="00000651" w:rsidRDefault="000006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52B" w14:paraId="43E6FD8A" w14:textId="77777777" w:rsidTr="00EB46E5">
      <w:tc>
        <w:tcPr>
          <w:tcW w:w="1361" w:type="dxa"/>
          <w:tcMar>
            <w:left w:w="0" w:type="dxa"/>
            <w:right w:w="0" w:type="dxa"/>
          </w:tcMar>
          <w:vAlign w:val="bottom"/>
        </w:tcPr>
        <w:p w14:paraId="016FBFAA" w14:textId="6CBCDBE9" w:rsidR="00B9352B" w:rsidRPr="00B8518B" w:rsidRDefault="00B9352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329">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0329">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B9352B" w:rsidRDefault="00B9352B" w:rsidP="00B8518B">
          <w:pPr>
            <w:pStyle w:val="Zpat"/>
          </w:pPr>
        </w:p>
      </w:tc>
      <w:tc>
        <w:tcPr>
          <w:tcW w:w="425" w:type="dxa"/>
          <w:shd w:val="clear" w:color="auto" w:fill="auto"/>
          <w:tcMar>
            <w:left w:w="0" w:type="dxa"/>
            <w:right w:w="0" w:type="dxa"/>
          </w:tcMar>
        </w:tcPr>
        <w:p w14:paraId="45F1B8FE" w14:textId="77777777" w:rsidR="00B9352B" w:rsidRDefault="00B9352B" w:rsidP="00B8518B">
          <w:pPr>
            <w:pStyle w:val="Zpat"/>
          </w:pPr>
        </w:p>
      </w:tc>
      <w:tc>
        <w:tcPr>
          <w:tcW w:w="8505" w:type="dxa"/>
        </w:tcPr>
        <w:p w14:paraId="5E37E1B7" w14:textId="4D0EFCD1" w:rsidR="00B9352B" w:rsidRDefault="00B9352B" w:rsidP="0023203B">
          <w:pPr>
            <w:pStyle w:val="Zpat0"/>
            <w:tabs>
              <w:tab w:val="clear" w:pos="4536"/>
            </w:tabs>
            <w:ind w:left="720"/>
          </w:pPr>
          <w:r>
            <w:t>Soubor staveb:</w:t>
          </w:r>
        </w:p>
        <w:p w14:paraId="4B92459F" w14:textId="07DDACB9" w:rsidR="00B9352B" w:rsidRDefault="00B9352B" w:rsidP="0023203B">
          <w:pPr>
            <w:pStyle w:val="Zpat0"/>
            <w:numPr>
              <w:ilvl w:val="0"/>
              <w:numId w:val="23"/>
            </w:numPr>
          </w:pPr>
          <w:r>
            <w:t xml:space="preserve">„Úprava neutrálních úseků u </w:t>
          </w:r>
          <w:proofErr w:type="spellStart"/>
          <w:r>
            <w:t>Sps</w:t>
          </w:r>
          <w:proofErr w:type="spellEnd"/>
          <w:r>
            <w:t xml:space="preserve"> Rohatec“</w:t>
          </w:r>
        </w:p>
        <w:p w14:paraId="4585B529" w14:textId="77777777" w:rsidR="00B9352B" w:rsidRDefault="00B9352B" w:rsidP="0023203B">
          <w:pPr>
            <w:pStyle w:val="Zpat0"/>
            <w:numPr>
              <w:ilvl w:val="0"/>
              <w:numId w:val="23"/>
            </w:numPr>
          </w:pPr>
          <w:r>
            <w:t xml:space="preserve">„Rekonstrukce DOÚO a DŘT u </w:t>
          </w:r>
          <w:proofErr w:type="spellStart"/>
          <w:r>
            <w:t>Sps</w:t>
          </w:r>
          <w:proofErr w:type="spellEnd"/>
          <w:r>
            <w:t xml:space="preserve"> Rohatec“</w:t>
          </w:r>
        </w:p>
        <w:p w14:paraId="3201EED0" w14:textId="77777777" w:rsidR="00B9352B" w:rsidRDefault="00B9352B" w:rsidP="00EB46E5">
          <w:pPr>
            <w:pStyle w:val="Zpat0"/>
          </w:pPr>
          <w:r>
            <w:t>Díl 1 – VÝZVA K PODÁNÍ NABÍDKY</w:t>
          </w:r>
        </w:p>
        <w:p w14:paraId="0F33739D" w14:textId="77777777" w:rsidR="00B9352B" w:rsidRDefault="00B9352B" w:rsidP="0035531B">
          <w:pPr>
            <w:pStyle w:val="Zpat0"/>
          </w:pPr>
        </w:p>
      </w:tc>
    </w:tr>
  </w:tbl>
  <w:p w14:paraId="0F99771F" w14:textId="77777777" w:rsidR="00B9352B" w:rsidRPr="00B8518B" w:rsidRDefault="00B9352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B9352B" w:rsidRPr="00B8518B" w:rsidRDefault="00B9352B" w:rsidP="00460660">
    <w:pPr>
      <w:pStyle w:val="Zpat"/>
      <w:rPr>
        <w:sz w:val="2"/>
        <w:szCs w:val="2"/>
      </w:rPr>
    </w:pPr>
  </w:p>
  <w:p w14:paraId="542534AD" w14:textId="77777777" w:rsidR="00B9352B" w:rsidRPr="00460660" w:rsidRDefault="00B935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4EDE8" w14:textId="77777777" w:rsidR="00000651" w:rsidRDefault="00000651" w:rsidP="00962258">
      <w:pPr>
        <w:spacing w:after="0" w:line="240" w:lineRule="auto"/>
      </w:pPr>
      <w:r>
        <w:separator/>
      </w:r>
    </w:p>
  </w:footnote>
  <w:footnote w:type="continuationSeparator" w:id="0">
    <w:p w14:paraId="1630719B" w14:textId="77777777" w:rsidR="00000651" w:rsidRDefault="00000651" w:rsidP="00962258">
      <w:pPr>
        <w:spacing w:after="0" w:line="240" w:lineRule="auto"/>
      </w:pPr>
      <w:r>
        <w:continuationSeparator/>
      </w:r>
    </w:p>
  </w:footnote>
  <w:footnote w:id="1">
    <w:p w14:paraId="1EBCE932" w14:textId="43111077" w:rsidR="00B9352B" w:rsidRDefault="00B9352B"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B9352B" w:rsidRDefault="00B9352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B9352B" w:rsidRDefault="00B9352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B9352B" w:rsidRDefault="00B9352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B9352B" w:rsidRDefault="00B9352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B9352B" w:rsidRDefault="00B9352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B9352B" w:rsidRDefault="00B9352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B9352B" w:rsidRDefault="00B9352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B9352B" w:rsidRDefault="00B9352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52B" w14:paraId="79A2CDDF" w14:textId="77777777" w:rsidTr="00C02D0A">
      <w:trPr>
        <w:trHeight w:hRule="exact" w:val="454"/>
      </w:trPr>
      <w:tc>
        <w:tcPr>
          <w:tcW w:w="1361" w:type="dxa"/>
          <w:tcMar>
            <w:top w:w="57" w:type="dxa"/>
            <w:left w:w="0" w:type="dxa"/>
            <w:right w:w="0" w:type="dxa"/>
          </w:tcMar>
        </w:tcPr>
        <w:p w14:paraId="6F56E93F" w14:textId="77777777" w:rsidR="00B9352B" w:rsidRPr="00B8518B" w:rsidRDefault="00B9352B" w:rsidP="00523EA7">
          <w:pPr>
            <w:pStyle w:val="Zpat"/>
            <w:rPr>
              <w:rStyle w:val="slostrnky"/>
            </w:rPr>
          </w:pPr>
        </w:p>
      </w:tc>
      <w:tc>
        <w:tcPr>
          <w:tcW w:w="3458" w:type="dxa"/>
          <w:shd w:val="clear" w:color="auto" w:fill="auto"/>
          <w:tcMar>
            <w:top w:w="57" w:type="dxa"/>
            <w:left w:w="0" w:type="dxa"/>
            <w:right w:w="0" w:type="dxa"/>
          </w:tcMar>
        </w:tcPr>
        <w:p w14:paraId="743F0C7F" w14:textId="77777777" w:rsidR="00B9352B" w:rsidRDefault="00B9352B" w:rsidP="00523EA7">
          <w:pPr>
            <w:pStyle w:val="Zpat"/>
          </w:pPr>
        </w:p>
      </w:tc>
      <w:tc>
        <w:tcPr>
          <w:tcW w:w="5698" w:type="dxa"/>
          <w:shd w:val="clear" w:color="auto" w:fill="auto"/>
          <w:tcMar>
            <w:top w:w="57" w:type="dxa"/>
            <w:left w:w="0" w:type="dxa"/>
            <w:right w:w="0" w:type="dxa"/>
          </w:tcMar>
        </w:tcPr>
        <w:p w14:paraId="31CF52A8" w14:textId="77777777" w:rsidR="00B9352B" w:rsidRPr="00D6163D" w:rsidRDefault="00B9352B" w:rsidP="00D6163D">
          <w:pPr>
            <w:pStyle w:val="Druhdokumentu"/>
          </w:pPr>
        </w:p>
      </w:tc>
    </w:tr>
  </w:tbl>
  <w:p w14:paraId="75C0D1DB" w14:textId="77777777" w:rsidR="00B9352B" w:rsidRPr="00D6163D" w:rsidRDefault="00B9352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352B" w14:paraId="305FD5DB" w14:textId="77777777" w:rsidTr="00B22106">
      <w:trPr>
        <w:trHeight w:hRule="exact" w:val="936"/>
      </w:trPr>
      <w:tc>
        <w:tcPr>
          <w:tcW w:w="1361" w:type="dxa"/>
          <w:tcMar>
            <w:left w:w="0" w:type="dxa"/>
            <w:right w:w="0" w:type="dxa"/>
          </w:tcMar>
        </w:tcPr>
        <w:p w14:paraId="570B0069" w14:textId="77777777" w:rsidR="00B9352B" w:rsidRPr="00B8518B" w:rsidRDefault="00B9352B" w:rsidP="00FC6389">
          <w:pPr>
            <w:pStyle w:val="Zpat"/>
            <w:rPr>
              <w:rStyle w:val="slostrnky"/>
            </w:rPr>
          </w:pPr>
        </w:p>
      </w:tc>
      <w:tc>
        <w:tcPr>
          <w:tcW w:w="3458" w:type="dxa"/>
          <w:shd w:val="clear" w:color="auto" w:fill="auto"/>
          <w:tcMar>
            <w:left w:w="0" w:type="dxa"/>
            <w:right w:w="0" w:type="dxa"/>
          </w:tcMar>
        </w:tcPr>
        <w:p w14:paraId="5C1BA917" w14:textId="77777777" w:rsidR="00B9352B" w:rsidRDefault="00B9352B" w:rsidP="00FC6389">
          <w:pPr>
            <w:pStyle w:val="Zpat"/>
          </w:pPr>
        </w:p>
      </w:tc>
      <w:tc>
        <w:tcPr>
          <w:tcW w:w="5756" w:type="dxa"/>
          <w:shd w:val="clear" w:color="auto" w:fill="auto"/>
          <w:tcMar>
            <w:left w:w="0" w:type="dxa"/>
            <w:right w:w="0" w:type="dxa"/>
          </w:tcMar>
        </w:tcPr>
        <w:p w14:paraId="2C32B53E" w14:textId="77777777" w:rsidR="00B9352B" w:rsidRPr="00D6163D" w:rsidRDefault="00B9352B" w:rsidP="00FC6389">
          <w:pPr>
            <w:pStyle w:val="Druhdokumentu"/>
          </w:pPr>
        </w:p>
      </w:tc>
    </w:tr>
    <w:tr w:rsidR="00B9352B" w14:paraId="69F8D53D" w14:textId="77777777" w:rsidTr="00B22106">
      <w:trPr>
        <w:trHeight w:hRule="exact" w:val="936"/>
      </w:trPr>
      <w:tc>
        <w:tcPr>
          <w:tcW w:w="1361" w:type="dxa"/>
          <w:tcMar>
            <w:left w:w="0" w:type="dxa"/>
            <w:right w:w="0" w:type="dxa"/>
          </w:tcMar>
        </w:tcPr>
        <w:p w14:paraId="679BED3A" w14:textId="77777777" w:rsidR="00B9352B" w:rsidRPr="00B8518B" w:rsidRDefault="00B9352B" w:rsidP="00FC6389">
          <w:pPr>
            <w:pStyle w:val="Zpat"/>
            <w:rPr>
              <w:rStyle w:val="slostrnky"/>
            </w:rPr>
          </w:pPr>
        </w:p>
      </w:tc>
      <w:tc>
        <w:tcPr>
          <w:tcW w:w="3458" w:type="dxa"/>
          <w:shd w:val="clear" w:color="auto" w:fill="auto"/>
          <w:tcMar>
            <w:left w:w="0" w:type="dxa"/>
            <w:right w:w="0" w:type="dxa"/>
          </w:tcMar>
        </w:tcPr>
        <w:p w14:paraId="63E8AC86" w14:textId="77777777" w:rsidR="00B9352B" w:rsidRDefault="00B9352B" w:rsidP="00FC6389">
          <w:pPr>
            <w:pStyle w:val="Zpat"/>
          </w:pPr>
        </w:p>
      </w:tc>
      <w:tc>
        <w:tcPr>
          <w:tcW w:w="5756" w:type="dxa"/>
          <w:shd w:val="clear" w:color="auto" w:fill="auto"/>
          <w:tcMar>
            <w:left w:w="0" w:type="dxa"/>
            <w:right w:w="0" w:type="dxa"/>
          </w:tcMar>
        </w:tcPr>
        <w:p w14:paraId="702F8471" w14:textId="77777777" w:rsidR="00B9352B" w:rsidRPr="00D6163D" w:rsidRDefault="00B9352B" w:rsidP="00FC6389">
          <w:pPr>
            <w:pStyle w:val="Druhdokumentu"/>
          </w:pPr>
        </w:p>
      </w:tc>
    </w:tr>
  </w:tbl>
  <w:p w14:paraId="0A197E79" w14:textId="77777777" w:rsidR="00B9352B" w:rsidRPr="00D6163D" w:rsidRDefault="00B9352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9352B" w:rsidRPr="00460660" w:rsidRDefault="00B935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5004D6"/>
    <w:multiLevelType w:val="hybridMultilevel"/>
    <w:tmpl w:val="78CE0486"/>
    <w:lvl w:ilvl="0" w:tplc="F71C83B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A521BA"/>
    <w:multiLevelType w:val="hybridMultilevel"/>
    <w:tmpl w:val="11FEB9EE"/>
    <w:lvl w:ilvl="0" w:tplc="070A778E">
      <w:start w:val="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B9313B"/>
    <w:multiLevelType w:val="hybridMultilevel"/>
    <w:tmpl w:val="78F00F7C"/>
    <w:lvl w:ilvl="0" w:tplc="50CE7E5A">
      <w:start w:val="1"/>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EF69DE"/>
    <w:multiLevelType w:val="hybridMultilevel"/>
    <w:tmpl w:val="15CC80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44864288">
    <w:abstractNumId w:val="3"/>
  </w:num>
  <w:num w:numId="2" w16cid:durableId="1269314031">
    <w:abstractNumId w:val="1"/>
  </w:num>
  <w:num w:numId="3" w16cid:durableId="1902716806">
    <w:abstractNumId w:val="14"/>
  </w:num>
  <w:num w:numId="4" w16cid:durableId="451753908">
    <w:abstractNumId w:val="2"/>
  </w:num>
  <w:num w:numId="5" w16cid:durableId="131022305">
    <w:abstractNumId w:val="0"/>
  </w:num>
  <w:num w:numId="6" w16cid:durableId="317659453">
    <w:abstractNumId w:val="5"/>
  </w:num>
  <w:num w:numId="7" w16cid:durableId="740562410">
    <w:abstractNumId w:val="9"/>
  </w:num>
  <w:num w:numId="8" w16cid:durableId="198125208">
    <w:abstractNumId w:val="6"/>
  </w:num>
  <w:num w:numId="9" w16cid:durableId="1721247361">
    <w:abstractNumId w:val="15"/>
  </w:num>
  <w:num w:numId="10" w16cid:durableId="900674244">
    <w:abstractNumId w:val="11"/>
  </w:num>
  <w:num w:numId="11" w16cid:durableId="1156218258">
    <w:abstractNumId w:val="9"/>
  </w:num>
  <w:num w:numId="12" w16cid:durableId="1124038210">
    <w:abstractNumId w:val="9"/>
  </w:num>
  <w:num w:numId="13" w16cid:durableId="7560256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29934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30816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62035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92956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2029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48320655">
    <w:abstractNumId w:val="10"/>
  </w:num>
  <w:num w:numId="20" w16cid:durableId="3869978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0914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1612600">
    <w:abstractNumId w:val="7"/>
  </w:num>
  <w:num w:numId="23" w16cid:durableId="210046002">
    <w:abstractNumId w:val="13"/>
  </w:num>
  <w:num w:numId="24" w16cid:durableId="1573344951">
    <w:abstractNumId w:val="12"/>
  </w:num>
  <w:num w:numId="25" w16cid:durableId="1797136534">
    <w:abstractNumId w:val="8"/>
  </w:num>
  <w:num w:numId="26" w16cid:durableId="702101199">
    <w:abstractNumId w:val="9"/>
    <w:lvlOverride w:ilvl="0">
      <w:startOverride w:val="1"/>
    </w:lvlOverride>
  </w:num>
  <w:num w:numId="27" w16cid:durableId="123550231">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651"/>
    <w:rsid w:val="0000101A"/>
    <w:rsid w:val="00006188"/>
    <w:rsid w:val="00011AC7"/>
    <w:rsid w:val="0001355D"/>
    <w:rsid w:val="00015DBC"/>
    <w:rsid w:val="00017143"/>
    <w:rsid w:val="0001718F"/>
    <w:rsid w:val="000174E8"/>
    <w:rsid w:val="00017A23"/>
    <w:rsid w:val="00017F3C"/>
    <w:rsid w:val="000203DB"/>
    <w:rsid w:val="00022AB4"/>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D4D"/>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3831"/>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286F"/>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4FB7"/>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203B"/>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5434"/>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A6600"/>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032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14CC"/>
    <w:rsid w:val="00655976"/>
    <w:rsid w:val="0065610E"/>
    <w:rsid w:val="00657B85"/>
    <w:rsid w:val="00660AD3"/>
    <w:rsid w:val="00660BEB"/>
    <w:rsid w:val="00662920"/>
    <w:rsid w:val="00665F2C"/>
    <w:rsid w:val="00666F70"/>
    <w:rsid w:val="006720FB"/>
    <w:rsid w:val="006776B6"/>
    <w:rsid w:val="00677E3B"/>
    <w:rsid w:val="00686462"/>
    <w:rsid w:val="00687091"/>
    <w:rsid w:val="00687E10"/>
    <w:rsid w:val="006909C7"/>
    <w:rsid w:val="00693150"/>
    <w:rsid w:val="00693188"/>
    <w:rsid w:val="00695DAA"/>
    <w:rsid w:val="006963ED"/>
    <w:rsid w:val="006A0713"/>
    <w:rsid w:val="006A307F"/>
    <w:rsid w:val="006A3CC8"/>
    <w:rsid w:val="006A548C"/>
    <w:rsid w:val="006A5570"/>
    <w:rsid w:val="006A689C"/>
    <w:rsid w:val="006A6AF2"/>
    <w:rsid w:val="006A740B"/>
    <w:rsid w:val="006A7D19"/>
    <w:rsid w:val="006B01BF"/>
    <w:rsid w:val="006B395C"/>
    <w:rsid w:val="006B3D79"/>
    <w:rsid w:val="006B4050"/>
    <w:rsid w:val="006B6D9B"/>
    <w:rsid w:val="006B6FE4"/>
    <w:rsid w:val="006C04A0"/>
    <w:rsid w:val="006C2343"/>
    <w:rsid w:val="006C442A"/>
    <w:rsid w:val="006C4AD3"/>
    <w:rsid w:val="006D34B2"/>
    <w:rsid w:val="006D36C4"/>
    <w:rsid w:val="006D49FE"/>
    <w:rsid w:val="006E0578"/>
    <w:rsid w:val="006E314D"/>
    <w:rsid w:val="006E449B"/>
    <w:rsid w:val="006E6247"/>
    <w:rsid w:val="006E66E8"/>
    <w:rsid w:val="006F67BA"/>
    <w:rsid w:val="006F6B09"/>
    <w:rsid w:val="007038DC"/>
    <w:rsid w:val="00703EFD"/>
    <w:rsid w:val="00705801"/>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779E9"/>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4D49"/>
    <w:rsid w:val="00845C0B"/>
    <w:rsid w:val="00845C50"/>
    <w:rsid w:val="00846789"/>
    <w:rsid w:val="00846B1E"/>
    <w:rsid w:val="008513D8"/>
    <w:rsid w:val="00851DD1"/>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524C"/>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451F"/>
    <w:rsid w:val="00A57DA6"/>
    <w:rsid w:val="00A6177B"/>
    <w:rsid w:val="00A62236"/>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0D47"/>
    <w:rsid w:val="00B71CC3"/>
    <w:rsid w:val="00B75EE1"/>
    <w:rsid w:val="00B77481"/>
    <w:rsid w:val="00B77C6D"/>
    <w:rsid w:val="00B8009C"/>
    <w:rsid w:val="00B80D2D"/>
    <w:rsid w:val="00B80E53"/>
    <w:rsid w:val="00B8518B"/>
    <w:rsid w:val="00B86933"/>
    <w:rsid w:val="00B92C98"/>
    <w:rsid w:val="00B9352B"/>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C70E2"/>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58E9"/>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23F1"/>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5F9"/>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5F1A"/>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Nevyeenzmnka1">
    <w:name w:val="Nevyřešená zmínka1"/>
    <w:basedOn w:val="Standardnpsmoodstavce"/>
    <w:uiPriority w:val="99"/>
    <w:semiHidden/>
    <w:unhideWhenUsed/>
    <w:rsid w:val="0017286F"/>
    <w:rPr>
      <w:color w:val="605E5C"/>
      <w:shd w:val="clear" w:color="auto" w:fill="E1DFDD"/>
    </w:rPr>
  </w:style>
  <w:style w:type="paragraph" w:customStyle="1" w:styleId="Default">
    <w:name w:val="Default"/>
    <w:rsid w:val="0017286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65a05e30-5124-4316-a003-f70f48959144"/>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4A4424-FB46-4BBD-A49A-C1090FA6DB3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42</Pages>
  <Words>18712</Words>
  <Characters>110404</Characters>
  <Application>Microsoft Office Word</Application>
  <DocSecurity>0</DocSecurity>
  <Lines>920</Lines>
  <Paragraphs>257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8</cp:revision>
  <cp:lastPrinted>2024-03-12T11:43:00Z</cp:lastPrinted>
  <dcterms:created xsi:type="dcterms:W3CDTF">2024-03-11T08:02:00Z</dcterms:created>
  <dcterms:modified xsi:type="dcterms:W3CDTF">2024-03-12T11:43:00Z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