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A12C27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E664FC">
        <w:rPr>
          <w:rFonts w:ascii="Verdana" w:hAnsi="Verdana"/>
          <w:sz w:val="18"/>
          <w:szCs w:val="18"/>
        </w:rPr>
        <w:t> </w:t>
      </w:r>
      <w:r w:rsidRPr="00E664FC">
        <w:rPr>
          <w:rFonts w:ascii="Verdana" w:hAnsi="Verdana"/>
          <w:sz w:val="18"/>
          <w:szCs w:val="18"/>
        </w:rPr>
        <w:t>názvem</w:t>
      </w:r>
      <w:r w:rsidR="00E664FC" w:rsidRPr="00E664FC">
        <w:rPr>
          <w:rFonts w:ascii="Verdana" w:hAnsi="Verdana"/>
          <w:b/>
          <w:bCs/>
          <w:sz w:val="18"/>
          <w:szCs w:val="18"/>
        </w:rPr>
        <w:t xml:space="preserve"> „Oprava ED OŘ Plzeň 2024/2026“</w:t>
      </w:r>
      <w:r w:rsidR="00E664FC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664F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2024-02-29T11:23:00Z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