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28AB7722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EC6B1B" w:rsidRPr="00EC6B1B">
            <w:rPr>
              <w:rStyle w:val="Nzevakce"/>
              <w:b/>
            </w:rPr>
            <w:t xml:space="preserve">„ Výstavba uzlové trakční napájecí stanice Brno-Černovice“ 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23342401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</w:t>
      </w:r>
      <w:bookmarkStart w:id="0" w:name="_GoBack"/>
      <w:bookmarkEnd w:id="0"/>
      <w:r>
        <w:t xml:space="preserve">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lastRenderedPageBreak/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1E46AD17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EC6B1B">
            <w:rPr>
              <w:rStyle w:val="Tun"/>
              <w:noProof/>
            </w:rPr>
            <w:t>„ Výstavba uzlové trakční napájecí stanice Brno-Černovice“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C6B1B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E3FC4"/>
    <w:rsid w:val="007E248B"/>
    <w:rsid w:val="008667B3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D330BE6-EF0C-4001-B823-ED744CA6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4</TotalTime>
  <Pages>2</Pages>
  <Words>433</Words>
  <Characters>2555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7</cp:revision>
  <cp:lastPrinted>2019-03-12T14:23:00Z</cp:lastPrinted>
  <dcterms:created xsi:type="dcterms:W3CDTF">2023-10-17T12:36:00Z</dcterms:created>
  <dcterms:modified xsi:type="dcterms:W3CDTF">2024-02-15T07:09:00Z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