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EC" w:rsidRDefault="00214CFC" w:rsidP="002D4D35">
      <w:pPr>
        <w:jc w:val="center"/>
        <w:rPr>
          <w:b/>
          <w:u w:val="single"/>
        </w:rPr>
      </w:pPr>
      <w:bookmarkStart w:id="0" w:name="_GoBack"/>
      <w:bookmarkEnd w:id="0"/>
      <w:r w:rsidRPr="00214CFC">
        <w:rPr>
          <w:b/>
          <w:u w:val="single"/>
        </w:rPr>
        <w:t>POPIS ČINNOSTÍ KOORDINÁTORA BOZP</w:t>
      </w:r>
    </w:p>
    <w:p w:rsidR="00214CFC" w:rsidRDefault="00214CFC">
      <w:pPr>
        <w:rPr>
          <w:b/>
          <w:u w:val="single"/>
        </w:rPr>
      </w:pPr>
    </w:p>
    <w:p w:rsidR="00214CFC" w:rsidRPr="00214CFC" w:rsidRDefault="00214CFC" w:rsidP="00214CFC">
      <w:pPr>
        <w:spacing w:before="120"/>
        <w:ind w:left="540" w:right="567"/>
        <w:jc w:val="both"/>
        <w:rPr>
          <w:rFonts w:cs="Arial"/>
          <w:color w:val="000000"/>
          <w:sz w:val="18"/>
          <w:szCs w:val="18"/>
        </w:rPr>
      </w:pPr>
      <w:r w:rsidRPr="00214CFC">
        <w:rPr>
          <w:rFonts w:cs="Arial"/>
          <w:color w:val="000000"/>
          <w:sz w:val="18"/>
          <w:szCs w:val="18"/>
        </w:rPr>
        <w:t>Koordinátor BOZP se zavazuje vykonávat v souladu se zákonem č. 309/2006 Sb. a nařízením vlády č. 591/2006 Sb. zejména tyto činnosti:</w:t>
      </w:r>
    </w:p>
    <w:p w:rsidR="00214CFC" w:rsidRPr="00214CFC" w:rsidRDefault="00214CFC" w:rsidP="00214CFC">
      <w:pPr>
        <w:numPr>
          <w:ilvl w:val="0"/>
          <w:numId w:val="5"/>
        </w:numPr>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informovat a upozorňovat:</w:t>
      </w:r>
    </w:p>
    <w:p w:rsidR="00214CFC" w:rsidRPr="00214CFC" w:rsidRDefault="00214CFC" w:rsidP="00214CFC">
      <w:pPr>
        <w:numPr>
          <w:ilvl w:val="0"/>
          <w:numId w:val="6"/>
        </w:numPr>
        <w:overflowPunct w:val="0"/>
        <w:autoSpaceDE w:val="0"/>
        <w:autoSpaceDN w:val="0"/>
        <w:adjustRightInd w:val="0"/>
        <w:spacing w:before="120" w:after="0" w:line="240" w:lineRule="auto"/>
        <w:ind w:left="1259" w:right="567" w:hanging="357"/>
        <w:jc w:val="both"/>
        <w:rPr>
          <w:rFonts w:cs="Arial"/>
          <w:color w:val="000000"/>
          <w:sz w:val="18"/>
          <w:szCs w:val="18"/>
        </w:rPr>
      </w:pPr>
      <w:r w:rsidRPr="00214CFC">
        <w:rPr>
          <w:rFonts w:cs="Arial"/>
          <w:color w:val="000000"/>
          <w:sz w:val="18"/>
          <w:szCs w:val="18"/>
        </w:rPr>
        <w:t>bez zbytečného odkladu všechny dotčené zhotovitele stavby, poddodavatele stavby</w:t>
      </w:r>
      <w:r w:rsidRPr="00214CFC">
        <w:rPr>
          <w:rFonts w:cs="Arial"/>
          <w:color w:val="FF0000"/>
          <w:sz w:val="18"/>
          <w:szCs w:val="18"/>
        </w:rPr>
        <w:t xml:space="preserve"> </w:t>
      </w:r>
      <w:r w:rsidRPr="00214CFC">
        <w:rPr>
          <w:rFonts w:cs="Arial"/>
          <w:sz w:val="18"/>
          <w:szCs w:val="18"/>
        </w:rPr>
        <w:t>a další jiné osoby</w:t>
      </w:r>
      <w:r w:rsidRPr="00214CFC">
        <w:rPr>
          <w:rFonts w:cs="Arial"/>
          <w:color w:val="FF0000"/>
          <w:sz w:val="18"/>
          <w:szCs w:val="18"/>
        </w:rPr>
        <w:t xml:space="preserve"> </w:t>
      </w:r>
      <w:r w:rsidRPr="00214CFC">
        <w:rPr>
          <w:rFonts w:cs="Arial"/>
          <w:color w:val="000000"/>
          <w:sz w:val="18"/>
          <w:szCs w:val="18"/>
        </w:rPr>
        <w:t>na bezpečnostní a zdravotní rizika, která vznikla na staveništi během postupu prací nebo se mohou v průběhu realizace na stavbě vyskytnout,</w:t>
      </w:r>
    </w:p>
    <w:p w:rsidR="00214CFC" w:rsidRPr="00214CFC" w:rsidRDefault="00214CFC" w:rsidP="00214CFC">
      <w:pPr>
        <w:numPr>
          <w:ilvl w:val="0"/>
          <w:numId w:val="7"/>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 xml:space="preserve">bez zbytečného odkladu zhotovitele stavby, poddodavatele stavby </w:t>
      </w:r>
      <w:r w:rsidRPr="00214CFC">
        <w:rPr>
          <w:rFonts w:cs="Arial"/>
          <w:sz w:val="18"/>
          <w:szCs w:val="18"/>
        </w:rPr>
        <w:t>a další jiné osoby</w:t>
      </w:r>
      <w:r w:rsidRPr="00214CFC">
        <w:rPr>
          <w:rFonts w:cs="Arial"/>
          <w:color w:val="FF0000"/>
          <w:sz w:val="18"/>
          <w:szCs w:val="18"/>
        </w:rPr>
        <w:t xml:space="preserve"> </w:t>
      </w:r>
      <w:r w:rsidRPr="00214CFC">
        <w:rPr>
          <w:rFonts w:cs="Arial"/>
          <w:color w:val="000000"/>
          <w:sz w:val="18"/>
          <w:szCs w:val="18"/>
        </w:rPr>
        <w:t>na nedostatky v uplatňování požadavků na bezpečnost a ochranu zdraví při práci na staveništi (dále i „BOZP“) zjištěné na pracovišti převzatém zhotovitelem stavby a poddodavatelem,</w:t>
      </w:r>
    </w:p>
    <w:p w:rsidR="00214CFC" w:rsidRPr="00214CFC" w:rsidRDefault="00214CFC" w:rsidP="00214CFC">
      <w:pPr>
        <w:numPr>
          <w:ilvl w:val="0"/>
          <w:numId w:val="7"/>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bez zbytečného odkladu zadavatele stavby na případy předchozího bodu tohoto článku, nebyla-li zhotovitelem stavby a poddodavatelem stavby neprodleně přijata přiměře</w:t>
      </w:r>
      <w:r>
        <w:rPr>
          <w:rFonts w:cs="Arial"/>
          <w:color w:val="000000"/>
          <w:sz w:val="18"/>
          <w:szCs w:val="18"/>
        </w:rPr>
        <w:t>ná opatření ke zjednání nápravy.</w:t>
      </w:r>
    </w:p>
    <w:p w:rsidR="00214CFC" w:rsidRPr="00214CFC" w:rsidRDefault="00214CFC" w:rsidP="00214CFC">
      <w:pPr>
        <w:numPr>
          <w:ilvl w:val="0"/>
          <w:numId w:val="5"/>
        </w:numPr>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vyžadovat zjednání nápravy v případě zjištění nedostatků v uplatňování požadavků na BOZP na staveništi a navrhovat k tomu přiměřená opatření,</w:t>
      </w:r>
    </w:p>
    <w:p w:rsidR="00214CFC" w:rsidRPr="00214CFC" w:rsidRDefault="00214CFC" w:rsidP="00214CFC">
      <w:pPr>
        <w:numPr>
          <w:ilvl w:val="0"/>
          <w:numId w:val="5"/>
        </w:numPr>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214CFC" w:rsidRPr="00214CFC" w:rsidRDefault="00214CFC" w:rsidP="00214CFC">
      <w:pPr>
        <w:numPr>
          <w:ilvl w:val="0"/>
          <w:numId w:val="5"/>
        </w:numPr>
        <w:suppressAutoHyphens/>
        <w:overflowPunct w:val="0"/>
        <w:autoSpaceDE w:val="0"/>
        <w:autoSpaceDN w:val="0"/>
        <w:adjustRightInd w:val="0"/>
        <w:spacing w:before="120" w:after="0" w:line="240" w:lineRule="auto"/>
        <w:ind w:left="896" w:right="567" w:hanging="357"/>
        <w:jc w:val="both"/>
        <w:rPr>
          <w:rFonts w:cs="Arial"/>
          <w:color w:val="000000"/>
          <w:sz w:val="18"/>
          <w:szCs w:val="18"/>
        </w:rPr>
      </w:pPr>
      <w:r w:rsidRPr="00214CFC">
        <w:rPr>
          <w:rFonts w:cs="Arial"/>
          <w:color w:val="000000"/>
          <w:sz w:val="18"/>
          <w:szCs w:val="18"/>
        </w:rPr>
        <w:t>dávat podněty a na vyžádání zhotovitele a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w:t>
      </w:r>
      <w:r>
        <w:rPr>
          <w:rFonts w:cs="Arial"/>
          <w:color w:val="000000"/>
          <w:sz w:val="18"/>
          <w:szCs w:val="18"/>
        </w:rPr>
        <w:t>e budou bezprostředně navazovat.</w:t>
      </w:r>
    </w:p>
    <w:p w:rsidR="00214CFC" w:rsidRPr="00214CFC" w:rsidRDefault="00214CFC" w:rsidP="00214CFC">
      <w:pPr>
        <w:numPr>
          <w:ilvl w:val="0"/>
          <w:numId w:val="5"/>
        </w:numPr>
        <w:suppressAutoHyphens/>
        <w:overflowPunct w:val="0"/>
        <w:autoSpaceDE w:val="0"/>
        <w:autoSpaceDN w:val="0"/>
        <w:adjustRightInd w:val="0"/>
        <w:spacing w:before="120" w:after="0" w:line="240" w:lineRule="auto"/>
        <w:ind w:left="896" w:right="567" w:hanging="357"/>
        <w:jc w:val="both"/>
        <w:rPr>
          <w:rFonts w:cs="Arial"/>
          <w:color w:val="000000"/>
          <w:sz w:val="18"/>
          <w:szCs w:val="18"/>
        </w:rPr>
      </w:pPr>
      <w:r w:rsidRPr="00214CFC">
        <w:rPr>
          <w:rFonts w:cs="Arial"/>
          <w:color w:val="000000"/>
          <w:sz w:val="18"/>
          <w:szCs w:val="18"/>
        </w:rPr>
        <w:t xml:space="preserve">sledovat </w:t>
      </w:r>
      <w:r w:rsidRPr="00214CFC">
        <w:rPr>
          <w:rFonts w:cs="Arial"/>
          <w:sz w:val="18"/>
          <w:szCs w:val="18"/>
        </w:rPr>
        <w:t>s ohledem na BOZP:</w:t>
      </w:r>
    </w:p>
    <w:p w:rsidR="00214CFC" w:rsidRPr="00214CFC" w:rsidRDefault="00214CFC" w:rsidP="00214CFC">
      <w:pPr>
        <w:numPr>
          <w:ilvl w:val="0"/>
          <w:numId w:val="8"/>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 xml:space="preserve">provádění prací na staveništi se zaměřením na zjišťování, zda jsou prováděny podle realizační dokumentace, souhrnu smluvních </w:t>
      </w:r>
      <w:r w:rsidRPr="00214CFC">
        <w:rPr>
          <w:rFonts w:cs="Arial"/>
          <w:sz w:val="18"/>
          <w:szCs w:val="18"/>
        </w:rPr>
        <w:t>dohod v oblasti BOZP a v souladu s platnými právními předpisy na ochranu veřejného zdraví, životního prostředí</w:t>
      </w:r>
      <w:r w:rsidRPr="00214CFC">
        <w:rPr>
          <w:rFonts w:cs="Arial"/>
          <w:color w:val="FF0000"/>
          <w:sz w:val="18"/>
          <w:szCs w:val="18"/>
        </w:rPr>
        <w:t xml:space="preserve"> </w:t>
      </w:r>
      <w:r w:rsidRPr="00214CFC">
        <w:rPr>
          <w:rFonts w:cs="Arial"/>
          <w:color w:val="000000"/>
          <w:sz w:val="18"/>
          <w:szCs w:val="18"/>
        </w:rPr>
        <w:t xml:space="preserve">a BOZP, upozorňovat na zjištěné nedostatky a požadovat bez zbytečného </w:t>
      </w:r>
      <w:r w:rsidRPr="00214CFC">
        <w:rPr>
          <w:rFonts w:cs="Arial"/>
          <w:sz w:val="18"/>
          <w:szCs w:val="18"/>
        </w:rPr>
        <w:t>odkladu po zhotoviteli a poddodavatelích</w:t>
      </w:r>
      <w:r w:rsidRPr="00214CFC">
        <w:rPr>
          <w:rFonts w:cs="Arial"/>
          <w:color w:val="000000"/>
          <w:sz w:val="18"/>
          <w:szCs w:val="18"/>
        </w:rPr>
        <w:t xml:space="preserve"> a jiných osobách zjednání nápravy,</w:t>
      </w:r>
    </w:p>
    <w:p w:rsidR="00214CFC" w:rsidRPr="00214CFC" w:rsidRDefault="00214CFC" w:rsidP="00214CFC">
      <w:pPr>
        <w:numPr>
          <w:ilvl w:val="0"/>
          <w:numId w:val="9"/>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zda zhotovitelé a poddodavatelé dodržují Plán bezpečnosti a ochrany zdraví při práci na staveništi (dále jen „Plán BOZP“) a projednávat s nimi přijetí opatření a termíny k nápravě zjištěných nedostatků,</w:t>
      </w:r>
    </w:p>
    <w:p w:rsidR="00214CFC" w:rsidRPr="00214CFC" w:rsidRDefault="00214CFC" w:rsidP="00214CFC">
      <w:pPr>
        <w:numPr>
          <w:ilvl w:val="0"/>
          <w:numId w:val="9"/>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 xml:space="preserve">zda navrhovaná technická a organizační preventivní opatření jsou v souladu s právními předpisy, hodnotami uvedenými v českých technických normách, technicky realizovatelná </w:t>
      </w:r>
      <w:r w:rsidRPr="00214CFC">
        <w:rPr>
          <w:rFonts w:cs="Arial"/>
          <w:sz w:val="18"/>
          <w:szCs w:val="18"/>
        </w:rPr>
        <w:t>s</w:t>
      </w:r>
      <w:r w:rsidRPr="00214CFC">
        <w:rPr>
          <w:rFonts w:cs="Arial"/>
          <w:color w:val="FF0000"/>
          <w:sz w:val="18"/>
          <w:szCs w:val="18"/>
        </w:rPr>
        <w:t xml:space="preserve"> </w:t>
      </w:r>
      <w:r w:rsidRPr="00214CFC">
        <w:rPr>
          <w:rFonts w:cs="Arial"/>
          <w:color w:val="000000"/>
          <w:sz w:val="18"/>
          <w:szCs w:val="18"/>
        </w:rPr>
        <w:t>přihlédnutím k účelu stanovenému zadavatelem stavby a ekonomicky přijatelná,</w:t>
      </w:r>
    </w:p>
    <w:p w:rsidR="00214CFC" w:rsidRPr="00214CFC" w:rsidRDefault="00214CFC" w:rsidP="00214CFC">
      <w:pPr>
        <w:numPr>
          <w:ilvl w:val="0"/>
          <w:numId w:val="9"/>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zaměstnance zadavatele stavby (především zaměstnance podílející se na řízení železničního provozu), zaměstnance provozovatelů drážní dopravy a třetích osob, kteří provádějí svoji pracovní činnost na staveništi, informovat tyto osoby o změnách na jejich pracovištích a zapracovat jejich pracovní činnosti a případné změny do Plánu BOZP a s Plánem BOZP seznámit</w:t>
      </w:r>
      <w:r>
        <w:rPr>
          <w:rFonts w:cs="Arial"/>
          <w:color w:val="000000"/>
          <w:sz w:val="18"/>
          <w:szCs w:val="18"/>
        </w:rPr>
        <w:t xml:space="preserve"> zástupce těchto zaměstnavatelů.</w:t>
      </w:r>
    </w:p>
    <w:p w:rsidR="00214CFC" w:rsidRPr="00214CFC" w:rsidRDefault="00214CFC" w:rsidP="00214CFC">
      <w:pPr>
        <w:numPr>
          <w:ilvl w:val="0"/>
          <w:numId w:val="5"/>
        </w:numPr>
        <w:suppressAutoHyphens/>
        <w:overflowPunct w:val="0"/>
        <w:autoSpaceDE w:val="0"/>
        <w:autoSpaceDN w:val="0"/>
        <w:adjustRightInd w:val="0"/>
        <w:spacing w:before="120" w:after="0" w:line="240" w:lineRule="auto"/>
        <w:ind w:left="896" w:right="567" w:hanging="357"/>
        <w:jc w:val="both"/>
        <w:rPr>
          <w:rFonts w:cs="Arial"/>
          <w:color w:val="000000"/>
          <w:sz w:val="18"/>
          <w:szCs w:val="18"/>
        </w:rPr>
      </w:pPr>
      <w:r w:rsidRPr="00214CFC">
        <w:rPr>
          <w:rFonts w:cs="Arial"/>
          <w:color w:val="000000"/>
          <w:sz w:val="18"/>
          <w:szCs w:val="18"/>
        </w:rPr>
        <w:t>kontrolovat:</w:t>
      </w:r>
    </w:p>
    <w:p w:rsidR="00214CFC" w:rsidRPr="00214CFC" w:rsidRDefault="00214CFC" w:rsidP="00214CFC">
      <w:pPr>
        <w:numPr>
          <w:ilvl w:val="0"/>
          <w:numId w:val="10"/>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realizaci nápravných opatření u příslušných odpovědných osob kontrolovaných subjektů,</w:t>
      </w:r>
    </w:p>
    <w:p w:rsidR="00214CFC" w:rsidRPr="00214CFC" w:rsidRDefault="00214CFC" w:rsidP="00214CFC">
      <w:pPr>
        <w:numPr>
          <w:ilvl w:val="0"/>
          <w:numId w:val="11"/>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lastRenderedPageBreak/>
        <w:t>potřebné doklady a oprávnění pro výkon prováděných prací (odborné zkoušky, povolení pro vstup cizích osob do vyhrazeného obvodu dráhy, oprávnění pro práce se stroji atd.),</w:t>
      </w:r>
    </w:p>
    <w:p w:rsidR="00214CFC" w:rsidRPr="00214CFC" w:rsidRDefault="00214CFC" w:rsidP="00214CFC">
      <w:pPr>
        <w:numPr>
          <w:ilvl w:val="0"/>
          <w:numId w:val="12"/>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zabezpečení obvodu staveniště, včetně vstupu a vjezdu na staveniště s cílem zamezit vstup nepovolaným fyzickým osobám,</w:t>
      </w:r>
      <w:r w:rsidRPr="00214CFC">
        <w:rPr>
          <w:rFonts w:cs="Arial"/>
          <w:color w:val="FF0000"/>
          <w:sz w:val="18"/>
          <w:szCs w:val="18"/>
          <w:highlight w:val="yellow"/>
        </w:rPr>
        <w:t xml:space="preserve"> </w:t>
      </w:r>
    </w:p>
    <w:p w:rsidR="00214CFC" w:rsidRPr="00214CFC" w:rsidRDefault="00214CFC" w:rsidP="00214CFC">
      <w:pPr>
        <w:numPr>
          <w:ilvl w:val="0"/>
          <w:numId w:val="12"/>
        </w:numPr>
        <w:overflowPunct w:val="0"/>
        <w:autoSpaceDE w:val="0"/>
        <w:autoSpaceDN w:val="0"/>
        <w:adjustRightInd w:val="0"/>
        <w:spacing w:before="120" w:after="0" w:line="240" w:lineRule="auto"/>
        <w:ind w:right="567"/>
        <w:jc w:val="both"/>
        <w:textAlignment w:val="baseline"/>
        <w:rPr>
          <w:rFonts w:cs="Arial"/>
          <w:color w:val="000000"/>
          <w:sz w:val="18"/>
          <w:szCs w:val="18"/>
        </w:rPr>
      </w:pPr>
      <w:r w:rsidRPr="00214CFC">
        <w:rPr>
          <w:rFonts w:cs="Arial"/>
          <w:color w:val="000000"/>
          <w:sz w:val="18"/>
          <w:szCs w:val="18"/>
        </w:rPr>
        <w:t xml:space="preserve">stav prostorů přístupných veřejnosti a přístupových cest na nástupiště, včetně provizorních stavů, a to zejména z hlediska kvality provedení a bezpečnosti cestující veřejnosti. </w:t>
      </w:r>
    </w:p>
    <w:p w:rsidR="00214CFC" w:rsidRPr="00214CFC" w:rsidRDefault="00214CFC" w:rsidP="00214CFC">
      <w:pPr>
        <w:numPr>
          <w:ilvl w:val="0"/>
          <w:numId w:val="12"/>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pracoviště zadavatele stavby (především zaměstnanců podílejících se na řízení železničního provozu) a pracoviště zaměstnanců provozovatelů drážní dopravy a třetích osob, nacházející se na staveništi (i přístupové cesty a drážní stezky) a to především s ohledem na jejich pracovní činnost za snížené viditelnosti a ve zhoršených klimatických podmínkách,</w:t>
      </w:r>
    </w:p>
    <w:p w:rsidR="00214CFC" w:rsidRPr="00214CFC" w:rsidRDefault="00214CFC" w:rsidP="00214CFC">
      <w:pPr>
        <w:numPr>
          <w:ilvl w:val="0"/>
          <w:numId w:val="12"/>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označení staveniště a zveřejnění a aktualizaci „Oznámení o zahájení prací“ na viditelném místě u vstupu na staveniště, a to po celou dobu provádění prací až do doby předání díla do užívání</w:t>
      </w:r>
      <w:r w:rsidRPr="00214CFC">
        <w:rPr>
          <w:rFonts w:cs="Arial"/>
          <w:color w:val="FF0000"/>
          <w:sz w:val="18"/>
          <w:szCs w:val="18"/>
        </w:rPr>
        <w:t xml:space="preserve"> </w:t>
      </w:r>
      <w:r w:rsidRPr="00214CFC">
        <w:rPr>
          <w:rFonts w:cs="Arial"/>
          <w:sz w:val="18"/>
          <w:szCs w:val="18"/>
        </w:rPr>
        <w:t>nebo ukončení platnosti této smlouvy,</w:t>
      </w:r>
    </w:p>
    <w:p w:rsidR="00214CFC" w:rsidRPr="00214CFC" w:rsidRDefault="00214CFC" w:rsidP="00214CFC">
      <w:pPr>
        <w:numPr>
          <w:ilvl w:val="0"/>
          <w:numId w:val="2"/>
        </w:numPr>
        <w:suppressAutoHyphens/>
        <w:overflowPunct w:val="0"/>
        <w:autoSpaceDE w:val="0"/>
        <w:autoSpaceDN w:val="0"/>
        <w:adjustRightInd w:val="0"/>
        <w:spacing w:before="120" w:after="0" w:line="240" w:lineRule="auto"/>
        <w:ind w:right="567"/>
        <w:jc w:val="both"/>
        <w:textAlignment w:val="baseline"/>
        <w:rPr>
          <w:rFonts w:cs="Arial"/>
          <w:sz w:val="18"/>
          <w:szCs w:val="18"/>
        </w:rPr>
      </w:pPr>
      <w:r w:rsidRPr="00214CFC">
        <w:rPr>
          <w:rFonts w:cs="Arial"/>
          <w:sz w:val="18"/>
          <w:szCs w:val="18"/>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w:t>
      </w:r>
      <w:r>
        <w:rPr>
          <w:rFonts w:cs="Arial"/>
          <w:sz w:val="18"/>
          <w:szCs w:val="18"/>
        </w:rPr>
        <w:t>eništi.</w:t>
      </w:r>
    </w:p>
    <w:p w:rsidR="00214CFC" w:rsidRPr="00214CFC" w:rsidRDefault="00214CFC" w:rsidP="00214CFC">
      <w:pPr>
        <w:numPr>
          <w:ilvl w:val="0"/>
          <w:numId w:val="5"/>
        </w:numPr>
        <w:suppressAutoHyphens/>
        <w:overflowPunct w:val="0"/>
        <w:autoSpaceDE w:val="0"/>
        <w:autoSpaceDN w:val="0"/>
        <w:adjustRightInd w:val="0"/>
        <w:spacing w:before="120" w:after="0" w:line="240" w:lineRule="auto"/>
        <w:ind w:left="896" w:right="567" w:hanging="357"/>
        <w:jc w:val="both"/>
        <w:rPr>
          <w:rFonts w:cs="Arial"/>
          <w:color w:val="000000"/>
          <w:sz w:val="18"/>
          <w:szCs w:val="18"/>
        </w:rPr>
      </w:pPr>
      <w:r w:rsidRPr="00214CFC">
        <w:rPr>
          <w:rFonts w:cs="Arial"/>
          <w:color w:val="000000"/>
          <w:sz w:val="18"/>
          <w:szCs w:val="18"/>
        </w:rPr>
        <w:t>spolupracovat:</w:t>
      </w:r>
    </w:p>
    <w:p w:rsidR="00214CFC" w:rsidRPr="00214CFC" w:rsidRDefault="00214CFC" w:rsidP="00214CFC">
      <w:pPr>
        <w:numPr>
          <w:ilvl w:val="0"/>
          <w:numId w:val="13"/>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při stanovení času potřebného k bezpečnému provádění jednotlivých prací nebo činností,</w:t>
      </w:r>
    </w:p>
    <w:p w:rsidR="00214CFC" w:rsidRPr="00214CFC" w:rsidRDefault="00214CFC" w:rsidP="00214CFC">
      <w:pPr>
        <w:numPr>
          <w:ilvl w:val="0"/>
          <w:numId w:val="13"/>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se zástupci zaměstnanců pro oblast bezpečnosti a ochrany zdraví při práci a s příslušnými odborovými organizacemi, popřípadě s fyzickou osobou provádějící technický dozor zadavatele stavby,</w:t>
      </w:r>
    </w:p>
    <w:p w:rsidR="00214CFC" w:rsidRPr="00214CFC" w:rsidRDefault="00214CFC" w:rsidP="00214CFC">
      <w:pPr>
        <w:numPr>
          <w:ilvl w:val="0"/>
          <w:numId w:val="13"/>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a postupovat při výkonu své funkce v součinnosti s dalšími odborně způsobilými fyzickými osobami vykonávajícími svoji působnost pod</w:t>
      </w:r>
      <w:r>
        <w:rPr>
          <w:rFonts w:cs="Arial"/>
          <w:sz w:val="18"/>
          <w:szCs w:val="18"/>
        </w:rPr>
        <w:t>le zvláštních právních předpisů.</w:t>
      </w:r>
    </w:p>
    <w:p w:rsidR="00214CFC" w:rsidRPr="00214CFC" w:rsidRDefault="00214CFC" w:rsidP="00214CFC">
      <w:pPr>
        <w:numPr>
          <w:ilvl w:val="0"/>
          <w:numId w:val="5"/>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navrhovat:</w:t>
      </w:r>
    </w:p>
    <w:p w:rsidR="00214CFC" w:rsidRPr="00214CFC" w:rsidRDefault="00214CFC" w:rsidP="00214CFC">
      <w:pPr>
        <w:numPr>
          <w:ilvl w:val="0"/>
          <w:numId w:val="14"/>
        </w:numPr>
        <w:suppressAutoHyphens/>
        <w:overflowPunct w:val="0"/>
        <w:autoSpaceDE w:val="0"/>
        <w:autoSpaceDN w:val="0"/>
        <w:adjustRightInd w:val="0"/>
        <w:spacing w:before="120" w:after="120" w:line="240" w:lineRule="auto"/>
        <w:ind w:right="567"/>
        <w:jc w:val="both"/>
        <w:rPr>
          <w:rFonts w:cs="Arial"/>
          <w:sz w:val="18"/>
          <w:szCs w:val="18"/>
        </w:rPr>
      </w:pPr>
      <w:r w:rsidRPr="00214CFC">
        <w:rPr>
          <w:rFonts w:cs="Arial"/>
          <w:sz w:val="18"/>
          <w:szCs w:val="18"/>
        </w:rPr>
        <w:t>kontrolní dny k dodržování Plánu BOZP ve smyslu § 8, odst. 2, písm. a) Nařízení vlády č. 591/2006 Sb., ve vhodném počtu dní po dohodě s technickým dozorem stavby,</w:t>
      </w:r>
    </w:p>
    <w:p w:rsidR="00214CFC" w:rsidRPr="00214CFC" w:rsidRDefault="00214CFC" w:rsidP="00214CFC">
      <w:pPr>
        <w:numPr>
          <w:ilvl w:val="0"/>
          <w:numId w:val="14"/>
        </w:numPr>
        <w:overflowPunct w:val="0"/>
        <w:autoSpaceDE w:val="0"/>
        <w:autoSpaceDN w:val="0"/>
        <w:adjustRightInd w:val="0"/>
        <w:spacing w:after="120" w:line="240" w:lineRule="auto"/>
        <w:ind w:right="567"/>
        <w:jc w:val="both"/>
        <w:textAlignment w:val="baseline"/>
        <w:rPr>
          <w:rFonts w:cs="Arial"/>
          <w:sz w:val="18"/>
          <w:szCs w:val="18"/>
        </w:rPr>
      </w:pPr>
      <w:r w:rsidRPr="00214CFC">
        <w:rPr>
          <w:rFonts w:cs="Arial"/>
          <w:sz w:val="18"/>
          <w:szCs w:val="18"/>
        </w:rPr>
        <w:t>kontrolní dny BOZP zaměřené na dodržování zákazu požívání alkoholických nápojů a užívání jiných návykových látek ve shodě s Plánem BOZP na staveništi, ve vhodném počtu dní po dohodě s technickým dozorem stavby,</w:t>
      </w:r>
    </w:p>
    <w:p w:rsidR="00214CFC" w:rsidRPr="00214CFC" w:rsidRDefault="00214CFC" w:rsidP="00214CFC">
      <w:pPr>
        <w:numPr>
          <w:ilvl w:val="0"/>
          <w:numId w:val="14"/>
        </w:numPr>
        <w:overflowPunct w:val="0"/>
        <w:autoSpaceDE w:val="0"/>
        <w:autoSpaceDN w:val="0"/>
        <w:adjustRightInd w:val="0"/>
        <w:spacing w:after="0" w:line="240" w:lineRule="auto"/>
        <w:ind w:right="567"/>
        <w:jc w:val="both"/>
        <w:textAlignment w:val="baseline"/>
        <w:rPr>
          <w:rFonts w:cs="Arial"/>
          <w:sz w:val="18"/>
          <w:szCs w:val="18"/>
        </w:rPr>
      </w:pPr>
      <w:r w:rsidRPr="00214CFC">
        <w:rPr>
          <w:rFonts w:cs="Arial"/>
          <w:sz w:val="18"/>
          <w:szCs w:val="18"/>
        </w:rPr>
        <w:t>přiměřená opatření ke zjednání nápravy v případě zjištění nedostatků v uplatňování požadavků na bezpečnost a ochranu zdraví při práci na staveništi nebo v případě ned</w:t>
      </w:r>
      <w:r>
        <w:rPr>
          <w:rFonts w:cs="Arial"/>
          <w:sz w:val="18"/>
          <w:szCs w:val="18"/>
        </w:rPr>
        <w:t>održení plánu.</w:t>
      </w:r>
    </w:p>
    <w:p w:rsidR="00214CFC" w:rsidRPr="00214CFC" w:rsidRDefault="00214CFC" w:rsidP="00214CFC">
      <w:pPr>
        <w:numPr>
          <w:ilvl w:val="0"/>
          <w:numId w:val="5"/>
        </w:numPr>
        <w:suppressAutoHyphens/>
        <w:overflowPunct w:val="0"/>
        <w:autoSpaceDE w:val="0"/>
        <w:autoSpaceDN w:val="0"/>
        <w:adjustRightInd w:val="0"/>
        <w:spacing w:before="120" w:after="0" w:line="240" w:lineRule="auto"/>
        <w:ind w:left="896" w:right="567" w:hanging="357"/>
        <w:jc w:val="both"/>
        <w:rPr>
          <w:rFonts w:cs="Arial"/>
          <w:color w:val="000000"/>
          <w:sz w:val="18"/>
          <w:szCs w:val="18"/>
        </w:rPr>
      </w:pPr>
      <w:r w:rsidRPr="00214CFC">
        <w:rPr>
          <w:rFonts w:cs="Arial"/>
          <w:color w:val="000000"/>
          <w:sz w:val="18"/>
          <w:szCs w:val="18"/>
        </w:rPr>
        <w:t>zúčastňovat se:</w:t>
      </w:r>
    </w:p>
    <w:p w:rsidR="00214CFC" w:rsidRPr="00214CFC" w:rsidRDefault="00214CFC" w:rsidP="00214CFC">
      <w:pPr>
        <w:numPr>
          <w:ilvl w:val="0"/>
          <w:numId w:val="15"/>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kontrolní prohlídky stavby, k níž byl přizván stavebním úřadem podle stavebního zákona,</w:t>
      </w:r>
    </w:p>
    <w:p w:rsidR="00214CFC" w:rsidRPr="00214CFC" w:rsidRDefault="00214CFC" w:rsidP="00214CFC">
      <w:pPr>
        <w:numPr>
          <w:ilvl w:val="0"/>
          <w:numId w:val="15"/>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porad vedení stavby a kontrolních dnů stavby za účasti zhotovitelů, poddodavatelů nebo osob jimi pověřených a informovat o výsledcích své činnosti a dodržování P</w:t>
      </w:r>
      <w:r>
        <w:rPr>
          <w:rFonts w:cs="Arial"/>
          <w:color w:val="000000"/>
          <w:sz w:val="18"/>
          <w:szCs w:val="18"/>
        </w:rPr>
        <w:t>lánu BOZP.</w:t>
      </w:r>
    </w:p>
    <w:p w:rsidR="00214CFC" w:rsidRPr="00214CFC" w:rsidRDefault="00214CFC" w:rsidP="00214CFC">
      <w:pPr>
        <w:numPr>
          <w:ilvl w:val="0"/>
          <w:numId w:val="5"/>
        </w:numPr>
        <w:suppressAutoHyphens/>
        <w:overflowPunct w:val="0"/>
        <w:autoSpaceDE w:val="0"/>
        <w:autoSpaceDN w:val="0"/>
        <w:adjustRightInd w:val="0"/>
        <w:spacing w:before="120" w:after="0" w:line="240" w:lineRule="auto"/>
        <w:ind w:left="896" w:right="567" w:hanging="357"/>
        <w:jc w:val="both"/>
        <w:rPr>
          <w:rFonts w:cs="Arial"/>
          <w:color w:val="000000"/>
          <w:sz w:val="18"/>
          <w:szCs w:val="18"/>
        </w:rPr>
      </w:pPr>
      <w:r w:rsidRPr="00214CFC">
        <w:rPr>
          <w:rFonts w:cs="Arial"/>
          <w:color w:val="000000"/>
          <w:sz w:val="18"/>
          <w:szCs w:val="18"/>
        </w:rPr>
        <w:t>vést dokumentaci:</w:t>
      </w:r>
    </w:p>
    <w:p w:rsidR="00214CFC" w:rsidRPr="00214CFC" w:rsidRDefault="00214CFC" w:rsidP="00214CFC">
      <w:pPr>
        <w:numPr>
          <w:ilvl w:val="0"/>
          <w:numId w:val="16"/>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214CFC" w:rsidRPr="00214CFC" w:rsidRDefault="00214CFC" w:rsidP="00214CFC">
      <w:pPr>
        <w:numPr>
          <w:ilvl w:val="0"/>
          <w:numId w:val="16"/>
        </w:numPr>
        <w:suppressAutoHyphens/>
        <w:overflowPunct w:val="0"/>
        <w:autoSpaceDE w:val="0"/>
        <w:autoSpaceDN w:val="0"/>
        <w:adjustRightInd w:val="0"/>
        <w:spacing w:before="120" w:after="0" w:line="240" w:lineRule="auto"/>
        <w:ind w:right="567"/>
        <w:jc w:val="both"/>
        <w:rPr>
          <w:rFonts w:cs="Arial"/>
          <w:color w:val="000000"/>
          <w:sz w:val="18"/>
          <w:szCs w:val="18"/>
        </w:rPr>
      </w:pPr>
      <w:r w:rsidRPr="00214CFC">
        <w:rPr>
          <w:rFonts w:cs="Arial"/>
          <w:color w:val="000000"/>
          <w:sz w:val="18"/>
          <w:szCs w:val="18"/>
        </w:rPr>
        <w:t xml:space="preserve">databázi zjištěných závad, vytváří přehledové listy zjištěných závad pro různé úrovně řízení stavby, </w:t>
      </w:r>
      <w:r>
        <w:rPr>
          <w:rFonts w:cs="Arial"/>
          <w:color w:val="000000"/>
          <w:sz w:val="18"/>
          <w:szCs w:val="18"/>
        </w:rPr>
        <w:t>včetně průkazné fotodokumentace.</w:t>
      </w:r>
    </w:p>
    <w:p w:rsidR="00214CFC" w:rsidRPr="00214CFC" w:rsidRDefault="00214CFC" w:rsidP="00214CFC">
      <w:pPr>
        <w:numPr>
          <w:ilvl w:val="0"/>
          <w:numId w:val="5"/>
        </w:numPr>
        <w:suppressAutoHyphens/>
        <w:overflowPunct w:val="0"/>
        <w:autoSpaceDE w:val="0"/>
        <w:autoSpaceDN w:val="0"/>
        <w:adjustRightInd w:val="0"/>
        <w:spacing w:before="120" w:after="0" w:line="240" w:lineRule="auto"/>
        <w:ind w:left="896" w:right="567" w:hanging="357"/>
        <w:jc w:val="both"/>
        <w:rPr>
          <w:rFonts w:cs="Arial"/>
          <w:color w:val="000000"/>
          <w:sz w:val="18"/>
          <w:szCs w:val="18"/>
        </w:rPr>
      </w:pPr>
      <w:r w:rsidRPr="00214CFC">
        <w:rPr>
          <w:rFonts w:cs="Arial"/>
          <w:color w:val="000000"/>
          <w:sz w:val="18"/>
          <w:szCs w:val="18"/>
        </w:rPr>
        <w:lastRenderedPageBreak/>
        <w:t>provádět:</w:t>
      </w:r>
    </w:p>
    <w:p w:rsidR="00214CFC" w:rsidRPr="00214CFC" w:rsidRDefault="00214CFC" w:rsidP="00214CFC">
      <w:pPr>
        <w:numPr>
          <w:ilvl w:val="0"/>
          <w:numId w:val="4"/>
        </w:numPr>
        <w:suppressAutoHyphens/>
        <w:overflowPunct w:val="0"/>
        <w:autoSpaceDE w:val="0"/>
        <w:autoSpaceDN w:val="0"/>
        <w:adjustRightInd w:val="0"/>
        <w:spacing w:before="120" w:after="0" w:line="240" w:lineRule="auto"/>
        <w:ind w:right="567"/>
        <w:jc w:val="both"/>
        <w:textAlignment w:val="baseline"/>
        <w:rPr>
          <w:rFonts w:cs="Arial"/>
          <w:sz w:val="18"/>
          <w:szCs w:val="18"/>
        </w:rPr>
      </w:pPr>
      <w:r w:rsidRPr="00214CFC">
        <w:rPr>
          <w:rFonts w:cs="Arial"/>
          <w:sz w:val="18"/>
          <w:szCs w:val="18"/>
        </w:rPr>
        <w:t>potřebnou aktualizaci Plánu BOZP v souladu s aktualizovanými harmonogramy provádění stavby v rozsahu stanoveném zadavatelem stavby a přílohou č. 6 Nařízení vlády č. 591/2006 Sb.,</w:t>
      </w:r>
    </w:p>
    <w:p w:rsidR="00214CFC" w:rsidRPr="00214CFC" w:rsidRDefault="00214CFC" w:rsidP="00214CFC">
      <w:pPr>
        <w:numPr>
          <w:ilvl w:val="0"/>
          <w:numId w:val="17"/>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potřebnou aktualizaci „Oznámení o zahájení prací“ v souladu s aktuálním stavem na staveništi při provádění stavby,</w:t>
      </w:r>
    </w:p>
    <w:p w:rsidR="00214CFC" w:rsidRPr="00214CFC" w:rsidRDefault="00214CFC" w:rsidP="00214CFC">
      <w:pPr>
        <w:numPr>
          <w:ilvl w:val="0"/>
          <w:numId w:val="17"/>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color w:val="000000"/>
          <w:sz w:val="18"/>
          <w:szCs w:val="18"/>
        </w:rPr>
        <w:t xml:space="preserve">dohled nad pracovními podmínkami v souladu s platnou legislativou pro </w:t>
      </w:r>
      <w:r w:rsidRPr="00214CFC">
        <w:rPr>
          <w:rFonts w:cs="Arial"/>
          <w:sz w:val="18"/>
          <w:szCs w:val="18"/>
        </w:rPr>
        <w:t>prevenci nemocí z povolání,</w:t>
      </w:r>
    </w:p>
    <w:p w:rsidR="00214CFC" w:rsidRPr="00214CFC" w:rsidRDefault="00214CFC" w:rsidP="00214CFC">
      <w:pPr>
        <w:numPr>
          <w:ilvl w:val="0"/>
          <w:numId w:val="2"/>
        </w:numPr>
        <w:suppressAutoHyphens/>
        <w:overflowPunct w:val="0"/>
        <w:autoSpaceDE w:val="0"/>
        <w:autoSpaceDN w:val="0"/>
        <w:adjustRightInd w:val="0"/>
        <w:spacing w:before="120" w:after="0" w:line="240" w:lineRule="auto"/>
        <w:ind w:right="567"/>
        <w:jc w:val="both"/>
        <w:textAlignment w:val="baseline"/>
        <w:rPr>
          <w:rFonts w:cs="Arial"/>
          <w:sz w:val="18"/>
          <w:szCs w:val="18"/>
        </w:rPr>
      </w:pPr>
      <w:r w:rsidRPr="00214CFC">
        <w:rPr>
          <w:rFonts w:cs="Arial"/>
          <w:sz w:val="18"/>
          <w:szCs w:val="18"/>
        </w:rPr>
        <w:t xml:space="preserve">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obsluhovat detekční přístroje, zajišťovat dopravu osoby s pozitivním zjištěním do zdravotnického zařízení, zúčastnit dalších potřebných činností plně v souladu s interními předpisy zadavatele stavby a se zákony č. 262/2006 Sb., v platném znění a zákonem č. 379/2005 Sb., v platném znění. O případných pozitivních zjištěných nebo o odmítnutí kontrolované osoby zpracovat písemné, příp. obrazové záznamy, a tyto neprodleně předat zástupci zadavatele stavby uvedeného v čl. </w:t>
      </w:r>
      <w:proofErr w:type="gramStart"/>
      <w:r w:rsidRPr="00214CFC">
        <w:rPr>
          <w:rFonts w:cs="Arial"/>
          <w:sz w:val="18"/>
          <w:szCs w:val="18"/>
        </w:rPr>
        <w:t>1.1. této</w:t>
      </w:r>
      <w:proofErr w:type="gramEnd"/>
      <w:r w:rsidRPr="00214CFC">
        <w:rPr>
          <w:rFonts w:cs="Arial"/>
          <w:sz w:val="18"/>
          <w:szCs w:val="18"/>
        </w:rPr>
        <w:t xml:space="preserve"> smlouvy.</w:t>
      </w:r>
    </w:p>
    <w:p w:rsidR="00214CFC" w:rsidRPr="00214CFC" w:rsidRDefault="00214CFC" w:rsidP="00214CFC">
      <w:pPr>
        <w:numPr>
          <w:ilvl w:val="0"/>
          <w:numId w:val="5"/>
        </w:numPr>
        <w:suppressAutoHyphens/>
        <w:overflowPunct w:val="0"/>
        <w:autoSpaceDE w:val="0"/>
        <w:autoSpaceDN w:val="0"/>
        <w:adjustRightInd w:val="0"/>
        <w:spacing w:before="120" w:after="0" w:line="240" w:lineRule="auto"/>
        <w:ind w:left="896" w:right="567" w:hanging="357"/>
        <w:jc w:val="both"/>
        <w:rPr>
          <w:rFonts w:cs="Arial"/>
          <w:color w:val="000000"/>
          <w:sz w:val="18"/>
          <w:szCs w:val="18"/>
        </w:rPr>
      </w:pPr>
      <w:r w:rsidRPr="00214CFC">
        <w:rPr>
          <w:rFonts w:cs="Arial"/>
          <w:color w:val="000000"/>
          <w:sz w:val="18"/>
          <w:szCs w:val="18"/>
        </w:rPr>
        <w:t>zpracovat:</w:t>
      </w:r>
    </w:p>
    <w:p w:rsidR="00214CFC" w:rsidRPr="00214CFC" w:rsidRDefault="00214CFC" w:rsidP="00214CFC">
      <w:pPr>
        <w:numPr>
          <w:ilvl w:val="0"/>
          <w:numId w:val="18"/>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BOZP, a to nejpozději do tří dnů po jejich podání,</w:t>
      </w:r>
    </w:p>
    <w:p w:rsidR="00214CFC" w:rsidRPr="00214CFC" w:rsidRDefault="00214CFC" w:rsidP="00214CFC">
      <w:pPr>
        <w:numPr>
          <w:ilvl w:val="0"/>
          <w:numId w:val="18"/>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a předat zadavateli plán BOZP pro předmětnou stavbu tak, aby plně vyhovoval potřebám zajištění bezpečné a zdraví neohrožující práce,</w:t>
      </w:r>
    </w:p>
    <w:p w:rsidR="00214CFC" w:rsidRPr="00214CFC" w:rsidRDefault="00214CFC" w:rsidP="00214CFC">
      <w:pPr>
        <w:numPr>
          <w:ilvl w:val="0"/>
          <w:numId w:val="18"/>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a předat zadavateli stavby aktualizovaný přehled právních předpisů bezpečnosti a ochrany zdraví při práci na staveništi vztahujících se ke stavbě</w:t>
      </w:r>
      <w:r w:rsidRPr="00214CFC">
        <w:rPr>
          <w:rFonts w:cs="Arial"/>
          <w:color w:val="FF0000"/>
          <w:sz w:val="18"/>
          <w:szCs w:val="18"/>
        </w:rPr>
        <w:t xml:space="preserve"> </w:t>
      </w:r>
      <w:r w:rsidRPr="00214CFC">
        <w:rPr>
          <w:rFonts w:cs="Arial"/>
          <w:sz w:val="18"/>
          <w:szCs w:val="18"/>
        </w:rPr>
        <w:t>vždy, kdy k aktualizaci dojde změnou právního předpisu, a to nejpozději ke dni účinnosti právního předpisu, kterým se změna provádí,</w:t>
      </w:r>
    </w:p>
    <w:p w:rsidR="00214CFC" w:rsidRPr="00214CFC" w:rsidRDefault="00214CFC" w:rsidP="00214CFC">
      <w:pPr>
        <w:numPr>
          <w:ilvl w:val="0"/>
          <w:numId w:val="18"/>
        </w:numPr>
        <w:suppressAutoHyphens/>
        <w:overflowPunct w:val="0"/>
        <w:autoSpaceDE w:val="0"/>
        <w:autoSpaceDN w:val="0"/>
        <w:adjustRightInd w:val="0"/>
        <w:spacing w:before="120" w:after="0" w:line="240" w:lineRule="auto"/>
        <w:ind w:right="567"/>
        <w:jc w:val="both"/>
        <w:rPr>
          <w:rFonts w:cs="Arial"/>
          <w:sz w:val="18"/>
          <w:szCs w:val="18"/>
        </w:rPr>
      </w:pPr>
      <w:r w:rsidRPr="00214CFC">
        <w:rPr>
          <w:rFonts w:cs="Arial"/>
          <w:sz w:val="18"/>
          <w:szCs w:val="18"/>
        </w:rPr>
        <w:t>a předat originál deníku koordinátora BOZP a originál P</w:t>
      </w:r>
      <w:r>
        <w:rPr>
          <w:rFonts w:cs="Arial"/>
          <w:sz w:val="18"/>
          <w:szCs w:val="18"/>
        </w:rPr>
        <w:t xml:space="preserve">lánu BOZP zadavateli stavby do </w:t>
      </w:r>
      <w:r w:rsidRPr="00214CFC">
        <w:rPr>
          <w:rFonts w:cs="Arial"/>
          <w:sz w:val="18"/>
          <w:szCs w:val="18"/>
        </w:rPr>
        <w:t>30 dnů po dokončení stavby a jejím řádném předání a převzetí vlastníkem nebo uživatelem,</w:t>
      </w:r>
    </w:p>
    <w:p w:rsidR="00214CFC" w:rsidRPr="00214CFC" w:rsidRDefault="00214CFC" w:rsidP="00214CFC">
      <w:pPr>
        <w:numPr>
          <w:ilvl w:val="0"/>
          <w:numId w:val="18"/>
        </w:numPr>
        <w:suppressAutoHyphens/>
        <w:overflowPunct w:val="0"/>
        <w:autoSpaceDE w:val="0"/>
        <w:autoSpaceDN w:val="0"/>
        <w:adjustRightInd w:val="0"/>
        <w:spacing w:before="120" w:after="120" w:line="240" w:lineRule="auto"/>
        <w:ind w:right="567"/>
        <w:jc w:val="both"/>
        <w:textAlignment w:val="baseline"/>
        <w:rPr>
          <w:rFonts w:cs="Arial"/>
          <w:sz w:val="18"/>
          <w:szCs w:val="18"/>
        </w:rPr>
      </w:pPr>
      <w:r w:rsidRPr="00214CFC">
        <w:rPr>
          <w:rFonts w:cs="Arial"/>
          <w:sz w:val="18"/>
          <w:szCs w:val="18"/>
        </w:rPr>
        <w:t>a předat zadavateli stavby v souladu s § 7 písm. d) a dle přílohy č. 6 Nařízení vlády č. 591/2006 Sb. aktualizaci „Plánu BOZP na staveništi – části týkající se údržby stavby po jejím dokončení“ vždy (opravu „Manuálu údržby stavby“) podle aktuálního stavu při dokončení stavby (případně části díla/stavby), nejpozději do 7 dnů po jejím dokončení a v určeném počtu,</w:t>
      </w:r>
    </w:p>
    <w:p w:rsidR="00214CFC" w:rsidRPr="00214CFC" w:rsidRDefault="00214CFC" w:rsidP="00214CFC">
      <w:pPr>
        <w:numPr>
          <w:ilvl w:val="0"/>
          <w:numId w:val="3"/>
        </w:numPr>
        <w:overflowPunct w:val="0"/>
        <w:autoSpaceDE w:val="0"/>
        <w:autoSpaceDN w:val="0"/>
        <w:adjustRightInd w:val="0"/>
        <w:spacing w:after="0" w:line="240" w:lineRule="auto"/>
        <w:ind w:right="567"/>
        <w:jc w:val="both"/>
        <w:textAlignment w:val="baseline"/>
        <w:rPr>
          <w:rFonts w:cs="Arial"/>
          <w:sz w:val="18"/>
          <w:szCs w:val="18"/>
        </w:rPr>
      </w:pPr>
      <w:r w:rsidRPr="00214CFC">
        <w:rPr>
          <w:rFonts w:cs="Arial"/>
          <w:sz w:val="18"/>
          <w:szCs w:val="18"/>
        </w:rPr>
        <w:t xml:space="preserve">osobou odborně způsobilou v prevenci rizik dle zákona č. 309/2006 Sb. „Vyhodnocení rizik BOZP“, (pokud takto neučinil včas před zahájením prací zhotovitel stavby), která jsou spojena s činnostmi, které se budou na staveništi provádět, a toto Vyhodnocení předat stanoveným zástupcům všech zaměstnavatelů (v písemné formě a v českém jazyce dle právního řádu ČR), jejichž zaměstnanci se vyskytují na staveništi a jsou jednotlivým rizikům vystaveni ve smyslu </w:t>
      </w:r>
      <w:proofErr w:type="spellStart"/>
      <w:r w:rsidRPr="00214CFC">
        <w:rPr>
          <w:rFonts w:cs="Arial"/>
          <w:sz w:val="18"/>
          <w:szCs w:val="18"/>
        </w:rPr>
        <w:t>ust</w:t>
      </w:r>
      <w:proofErr w:type="spellEnd"/>
      <w:r w:rsidRPr="00214CFC">
        <w:rPr>
          <w:rFonts w:cs="Arial"/>
          <w:sz w:val="18"/>
          <w:szCs w:val="18"/>
        </w:rPr>
        <w:t xml:space="preserve">. § 101 zákona č. 262/2006 Sb. Vyhodnocení těchto rizik následně předat zástupcům Oblastních ředitelství zadavatele stavby, jejichž zaměstnanci se budou na staveništi také nacházet a to v termínu stanoveném těmito příslušnými Oblastními ředitelstvími. </w:t>
      </w:r>
    </w:p>
    <w:p w:rsidR="00214CFC" w:rsidRPr="00214CFC" w:rsidRDefault="00214CFC" w:rsidP="00214CFC">
      <w:pPr>
        <w:numPr>
          <w:ilvl w:val="0"/>
          <w:numId w:val="1"/>
        </w:numPr>
        <w:suppressAutoHyphens/>
        <w:overflowPunct w:val="0"/>
        <w:autoSpaceDE w:val="0"/>
        <w:autoSpaceDN w:val="0"/>
        <w:adjustRightInd w:val="0"/>
        <w:spacing w:before="120" w:after="0" w:line="240" w:lineRule="auto"/>
        <w:ind w:left="896" w:right="567" w:hanging="357"/>
        <w:jc w:val="both"/>
        <w:textAlignment w:val="baseline"/>
        <w:rPr>
          <w:rFonts w:cs="Arial"/>
          <w:color w:val="FF0000"/>
          <w:sz w:val="18"/>
          <w:szCs w:val="18"/>
        </w:rPr>
      </w:pPr>
      <w:r w:rsidRPr="00214CFC">
        <w:rPr>
          <w:rFonts w:cs="Arial"/>
          <w:sz w:val="18"/>
          <w:szCs w:val="18"/>
        </w:rPr>
        <w:t xml:space="preserve">odeslat v dostačeném předstihu před předáním staveniště na příslušné OIP dle místa stavby „Oznámení o zahájení prací“ a toto vyvěsit na viditelných místech u </w:t>
      </w:r>
      <w:proofErr w:type="gramStart"/>
      <w:r w:rsidRPr="00214CFC">
        <w:rPr>
          <w:rFonts w:cs="Arial"/>
          <w:sz w:val="18"/>
          <w:szCs w:val="18"/>
        </w:rPr>
        <w:t>vstupu(ů) na</w:t>
      </w:r>
      <w:proofErr w:type="gramEnd"/>
      <w:r w:rsidRPr="00214CFC">
        <w:rPr>
          <w:rFonts w:cs="Arial"/>
          <w:sz w:val="18"/>
          <w:szCs w:val="18"/>
        </w:rPr>
        <w:t xml:space="preserve"> staveniště,</w:t>
      </w:r>
    </w:p>
    <w:p w:rsidR="00214CFC" w:rsidRPr="00214CFC" w:rsidRDefault="00214CFC" w:rsidP="00012AD3">
      <w:pPr>
        <w:numPr>
          <w:ilvl w:val="0"/>
          <w:numId w:val="1"/>
        </w:numPr>
        <w:suppressAutoHyphens/>
        <w:overflowPunct w:val="0"/>
        <w:autoSpaceDE w:val="0"/>
        <w:autoSpaceDN w:val="0"/>
        <w:adjustRightInd w:val="0"/>
        <w:spacing w:before="120" w:after="0" w:line="240" w:lineRule="auto"/>
        <w:ind w:left="896" w:right="567" w:hanging="357"/>
        <w:jc w:val="both"/>
        <w:textAlignment w:val="baseline"/>
        <w:rPr>
          <w:sz w:val="18"/>
          <w:szCs w:val="18"/>
        </w:rPr>
      </w:pPr>
      <w:r w:rsidRPr="00214CFC">
        <w:rPr>
          <w:rFonts w:cs="Arial"/>
          <w:color w:val="000000"/>
          <w:sz w:val="18"/>
          <w:szCs w:val="18"/>
        </w:rPr>
        <w:lastRenderedPageBreak/>
        <w:t>zajišťovat odbornou podporu a součinnost při komunikaci s orgány státní správy a samosprávy.</w:t>
      </w:r>
    </w:p>
    <w:p w:rsidR="00214CFC" w:rsidRDefault="00214CFC"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rsidR="00214CFC" w:rsidRDefault="00214CFC"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rsidR="002D4D35" w:rsidRPr="00C03495" w:rsidRDefault="002D4D35" w:rsidP="00C03495">
      <w:pPr>
        <w:suppressAutoHyphens/>
        <w:overflowPunct w:val="0"/>
        <w:autoSpaceDE w:val="0"/>
        <w:autoSpaceDN w:val="0"/>
        <w:adjustRightInd w:val="0"/>
        <w:spacing w:before="120" w:after="0" w:line="240" w:lineRule="auto"/>
        <w:ind w:left="896" w:right="567"/>
        <w:jc w:val="center"/>
        <w:textAlignment w:val="baseline"/>
        <w:rPr>
          <w:rFonts w:cs="Arial"/>
          <w:b/>
          <w:color w:val="000000"/>
          <w:szCs w:val="20"/>
        </w:rPr>
      </w:pPr>
      <w:r w:rsidRPr="00C03495">
        <w:rPr>
          <w:rFonts w:cs="Arial"/>
          <w:b/>
          <w:color w:val="000000"/>
          <w:szCs w:val="20"/>
        </w:rPr>
        <w:t>Práva a povinnosti koordinátora BOZP</w:t>
      </w:r>
    </w:p>
    <w:p w:rsidR="002D4D35" w:rsidRDefault="002D4D35" w:rsidP="00214CFC">
      <w:pPr>
        <w:suppressAutoHyphens/>
        <w:overflowPunct w:val="0"/>
        <w:autoSpaceDE w:val="0"/>
        <w:autoSpaceDN w:val="0"/>
        <w:adjustRightInd w:val="0"/>
        <w:spacing w:before="120" w:after="0" w:line="240" w:lineRule="auto"/>
        <w:ind w:left="896" w:right="567"/>
        <w:jc w:val="both"/>
        <w:textAlignment w:val="baseline"/>
        <w:rPr>
          <w:rFonts w:cs="Arial"/>
          <w:color w:val="000000"/>
          <w:sz w:val="18"/>
          <w:szCs w:val="18"/>
        </w:rPr>
      </w:pPr>
    </w:p>
    <w:p w:rsidR="002D4D35" w:rsidRPr="002D4D35" w:rsidRDefault="002D4D35" w:rsidP="00C03495">
      <w:pPr>
        <w:pStyle w:val="Text1-1"/>
        <w:numPr>
          <w:ilvl w:val="1"/>
          <w:numId w:val="19"/>
        </w:numPr>
        <w:tabs>
          <w:tab w:val="clear" w:pos="1446"/>
          <w:tab w:val="num" w:pos="737"/>
        </w:tabs>
        <w:ind w:left="737"/>
        <w:rPr>
          <w:rFonts w:ascii="Verdana" w:hAnsi="Verdana"/>
        </w:rPr>
      </w:pPr>
      <w:r w:rsidRPr="002D4D35">
        <w:rPr>
          <w:rFonts w:ascii="Verdana" w:hAnsi="Verdana"/>
        </w:rPr>
        <w:t xml:space="preserve">Koordinátor BOZP se zavazuje při provádění činností, jež jsou předmětem smlouvy, </w:t>
      </w:r>
      <w:r w:rsidRPr="00C03495">
        <w:rPr>
          <w:rFonts w:ascii="Verdana" w:hAnsi="Verdana" w:cs="Calibri"/>
        </w:rPr>
        <w:t>postupovat</w:t>
      </w:r>
      <w:r w:rsidRPr="002D4D35">
        <w:rPr>
          <w:rFonts w:ascii="Verdana" w:hAnsi="Verdana"/>
        </w:rPr>
        <w:t xml:space="preserve">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Koordinátor</w:t>
      </w:r>
      <w:r w:rsidRPr="002D4D35">
        <w:rPr>
          <w:rFonts w:ascii="Verdana" w:hAnsi="Verdana"/>
        </w:rPr>
        <w:t xml:space="preserve"> BOZP se zavazuje respektovat změny obecně závazných právních předpisů, interních předpisů Objednatele a norem, které se týkají předmětu smlouvy i předmětné stavby uvedené v čl. 1, odst. 1.1 této smlouvy, i pokud k těmto změnám dojde během účinnosti této smlouvy a tyto změny se mají vztahovat i na stavby již prováděné nebo pokud budou tyto změny Objednatelem uplatněny. Tyto změny budou řešeny písemnými dodatky k této smlouvě.</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Koordinátor</w:t>
      </w:r>
      <w:r w:rsidRPr="002D4D35">
        <w:rPr>
          <w:rFonts w:ascii="Verdana" w:hAnsi="Verdana"/>
        </w:rPr>
        <w:t xml:space="preserve"> BOZP se v souladu interním předpisem </w:t>
      </w:r>
      <w:proofErr w:type="spellStart"/>
      <w:r w:rsidRPr="002D4D35">
        <w:rPr>
          <w:rFonts w:ascii="Verdana" w:hAnsi="Verdana"/>
        </w:rPr>
        <w:t>Zam</w:t>
      </w:r>
      <w:proofErr w:type="spellEnd"/>
      <w:r w:rsidRPr="002D4D35">
        <w:rPr>
          <w:rFonts w:ascii="Verdana" w:hAnsi="Verdana"/>
        </w:rPr>
        <w:t xml:space="preserve"> 1 zavazuje zajistit, aby všichni jeho zaměstnanci, kteří budou vykonávat činnost koordinátora BOZP, měli platný doklad o odborné způsobilosti dle zkoušky KMB-10/1. Koordinátor BOZP je povinen na žádost Objednatele kdykoliv doložit platný doklad o absolvování zkoušky KMB-10/1. Bez platné zkoušky KMB-10/1 nesmí koordinátor BOZP vykonávat předmět této smlouvy.</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Koordinátor</w:t>
      </w:r>
      <w:r w:rsidRPr="002D4D35">
        <w:rPr>
          <w:rFonts w:ascii="Verdana" w:hAnsi="Verdana"/>
        </w:rPr>
        <w:t xml:space="preserve"> BOZP prohlašuje, že všechny dokumenty a podklady nutné k řádnému plnění předmětu smlouvy mu byly předány před podpisem této smlouvy nebo je má jinak k dispozici, s jejich obsahem je seznámen a je pro něj závazný.</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rPr>
        <w:t xml:space="preserve">Objednatel si vyhrazuje požadavek, že výkon činnosti koordinátora BOZP bude v průběhu realizace Stavby zajištěn osobou (osobami) </w:t>
      </w:r>
      <w:proofErr w:type="gramStart"/>
      <w:r w:rsidRPr="002D4D35">
        <w:rPr>
          <w:rFonts w:ascii="Verdana" w:hAnsi="Verdana"/>
        </w:rPr>
        <w:t>disponující(mi</w:t>
      </w:r>
      <w:proofErr w:type="gramEnd"/>
      <w:r w:rsidRPr="002D4D35">
        <w:rPr>
          <w:rFonts w:ascii="Verdana" w:hAnsi="Verdana"/>
        </w:rPr>
        <w:t>) elektronickým podpisem, bude-li takového elektronického podepisování k plnění předmětu Díla třeba.</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Žádný</w:t>
      </w:r>
      <w:r w:rsidRPr="002D4D35">
        <w:rPr>
          <w:rFonts w:ascii="Verdana" w:hAnsi="Verdana"/>
        </w:rPr>
        <w:t xml:space="preserve"> z výše uvedených dokumentů a podkladů, které koordinátor BOZP převzal od Objednatele, není koordinátor BOZP oprávněn bez předchozího písemného svolení Objednatele užít k jiným účelům než k plnění předmětu této smlouvy.</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Koordinátor</w:t>
      </w:r>
      <w:r w:rsidRPr="002D4D35">
        <w:rPr>
          <w:rFonts w:ascii="Verdana" w:hAnsi="Verdana"/>
        </w:rPr>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Objednateli kopii dokladu s uvedením čísla této smlouvy a názvu stavby.</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Koordinátor</w:t>
      </w:r>
      <w:r w:rsidRPr="002D4D35">
        <w:rPr>
          <w:rFonts w:ascii="Verdana" w:hAnsi="Verdana"/>
        </w:rPr>
        <w:t xml:space="preserve"> BOZP není oprávněn bez předchozího písemného souhlasu Objednatele převést na jinou osobu práva, povinnosti a závazky vyplývající z této smlouvy.</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rPr>
        <w:t xml:space="preserve">Koordinátor BOZP je osobou oprávněnou provádět dle stavebního zákona zápisy do stavebního deníku a tyto zápisy se zavazuje provádět ve lhůtě do 2 dnů ode dne, kdy zapisované skutečnosti nastanou. </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rPr>
        <w:t>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Objednatele.</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rPr>
        <w:t xml:space="preserve">Ústní </w:t>
      </w:r>
      <w:r w:rsidRPr="002D4D35">
        <w:rPr>
          <w:rFonts w:ascii="Verdana" w:hAnsi="Verdana" w:cs="Calibri"/>
        </w:rPr>
        <w:t>informaci</w:t>
      </w:r>
      <w:r w:rsidRPr="002D4D35">
        <w:rPr>
          <w:rFonts w:ascii="Verdana" w:hAnsi="Verdana"/>
        </w:rPr>
        <w:t>, upozornění, opatření, doporučení a podněty je koordinátor BOZP vždy povinen bez zbytečného odkladu následně uskutečnit i písemnou formou.</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Koordinátor</w:t>
      </w:r>
      <w:r w:rsidRPr="002D4D35">
        <w:rPr>
          <w:rFonts w:ascii="Verdana" w:hAnsi="Verdana"/>
        </w:rPr>
        <w:t xml:space="preserve"> BOZP si je vědom skutečnosti, že nemá pravomoc zastavit stavbu.</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lastRenderedPageBreak/>
        <w:t>Koordinátor</w:t>
      </w:r>
      <w:r w:rsidRPr="002D4D35">
        <w:rPr>
          <w:rFonts w:ascii="Verdana" w:hAnsi="Verdana"/>
        </w:rPr>
        <w:t xml:space="preserve"> BOZP plně ručí za kvalitu plánu BOZP po dobu platnosti této smlouvy.</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rPr>
        <w:t xml:space="preserve">Při </w:t>
      </w:r>
      <w:r w:rsidRPr="002D4D35">
        <w:rPr>
          <w:rFonts w:ascii="Verdana" w:hAnsi="Verdana" w:cs="Calibri"/>
        </w:rPr>
        <w:t>plnění</w:t>
      </w:r>
      <w:r w:rsidRPr="002D4D35">
        <w:rPr>
          <w:rFonts w:ascii="Verdana" w:hAnsi="Verdana"/>
        </w:rPr>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Veškeré</w:t>
      </w:r>
      <w:r w:rsidRPr="002D4D35">
        <w:rPr>
          <w:rFonts w:ascii="Verdana" w:hAnsi="Verdana"/>
        </w:rPr>
        <w:t xml:space="preserve"> informace týkající se předmětu této smlouvy, s nimiž bude koordinátor BOZP přicházet v průběhu předsmluvních jednání a v době po uzavření smlouvy do styku, jakož i výchozí podklady a materiály předané mu Objednatelem, jsou důvěrné. Tyto informace nesmějí být sděleny nikomu kromě Objednatele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2D4D35" w:rsidRPr="002D4D35" w:rsidRDefault="002D4D35" w:rsidP="002D4D35">
      <w:pPr>
        <w:pStyle w:val="Text1-1"/>
        <w:numPr>
          <w:ilvl w:val="1"/>
          <w:numId w:val="19"/>
        </w:numPr>
        <w:tabs>
          <w:tab w:val="clear" w:pos="1446"/>
          <w:tab w:val="num" w:pos="737"/>
        </w:tabs>
        <w:ind w:left="737"/>
        <w:rPr>
          <w:rFonts w:ascii="Verdana" w:hAnsi="Verdana"/>
        </w:rPr>
      </w:pPr>
      <w:r w:rsidRPr="002D4D35">
        <w:rPr>
          <w:rFonts w:ascii="Verdana" w:hAnsi="Verdana" w:cs="Calibri"/>
        </w:rPr>
        <w:t>Vystavovat</w:t>
      </w:r>
      <w:r w:rsidRPr="002D4D35">
        <w:rPr>
          <w:rFonts w:ascii="Verdana" w:hAnsi="Verdana"/>
        </w:rPr>
        <w:t xml:space="preserve"> daňové doklady – faktury je povinen vůči Objednateli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214CFC" w:rsidRPr="002D4D35" w:rsidRDefault="00214CFC" w:rsidP="00214CFC">
      <w:pPr>
        <w:suppressAutoHyphens/>
        <w:overflowPunct w:val="0"/>
        <w:autoSpaceDE w:val="0"/>
        <w:autoSpaceDN w:val="0"/>
        <w:adjustRightInd w:val="0"/>
        <w:spacing w:before="120" w:after="0" w:line="240" w:lineRule="auto"/>
        <w:ind w:left="896" w:right="567"/>
        <w:jc w:val="both"/>
        <w:textAlignment w:val="baseline"/>
        <w:rPr>
          <w:sz w:val="18"/>
          <w:szCs w:val="18"/>
        </w:rPr>
      </w:pPr>
    </w:p>
    <w:p w:rsidR="00214CFC" w:rsidRDefault="00214CFC" w:rsidP="00214CFC">
      <w:pPr>
        <w:suppressAutoHyphens/>
        <w:overflowPunct w:val="0"/>
        <w:autoSpaceDE w:val="0"/>
        <w:autoSpaceDN w:val="0"/>
        <w:adjustRightInd w:val="0"/>
        <w:spacing w:before="120" w:after="0" w:line="240" w:lineRule="auto"/>
        <w:ind w:left="896" w:right="567"/>
        <w:jc w:val="both"/>
        <w:textAlignment w:val="baseline"/>
        <w:rPr>
          <w:sz w:val="18"/>
          <w:szCs w:val="18"/>
        </w:rPr>
      </w:pPr>
    </w:p>
    <w:p w:rsidR="008E502F" w:rsidRDefault="008E502F" w:rsidP="00214CFC">
      <w:pPr>
        <w:suppressAutoHyphens/>
        <w:overflowPunct w:val="0"/>
        <w:autoSpaceDE w:val="0"/>
        <w:autoSpaceDN w:val="0"/>
        <w:adjustRightInd w:val="0"/>
        <w:spacing w:before="120" w:after="0" w:line="240" w:lineRule="auto"/>
        <w:ind w:left="896" w:right="567"/>
        <w:jc w:val="both"/>
        <w:textAlignment w:val="baseline"/>
        <w:rPr>
          <w:sz w:val="18"/>
          <w:szCs w:val="18"/>
        </w:rPr>
      </w:pPr>
    </w:p>
    <w:p w:rsidR="008E502F" w:rsidRDefault="008E502F" w:rsidP="008E502F">
      <w:pPr>
        <w:suppressAutoHyphens/>
        <w:overflowPunct w:val="0"/>
        <w:autoSpaceDE w:val="0"/>
        <w:autoSpaceDN w:val="0"/>
        <w:adjustRightInd w:val="0"/>
        <w:spacing w:before="120" w:after="0" w:line="240" w:lineRule="auto"/>
        <w:ind w:left="896" w:right="567"/>
        <w:jc w:val="center"/>
        <w:textAlignment w:val="baseline"/>
        <w:rPr>
          <w:rFonts w:cs="Arial"/>
          <w:b/>
          <w:color w:val="000000"/>
          <w:szCs w:val="20"/>
        </w:rPr>
      </w:pPr>
      <w:r>
        <w:rPr>
          <w:rFonts w:cs="Arial"/>
          <w:b/>
          <w:color w:val="000000"/>
          <w:szCs w:val="20"/>
        </w:rPr>
        <w:t>Kontroly a audity</w:t>
      </w:r>
    </w:p>
    <w:p w:rsidR="008E502F" w:rsidRDefault="008E502F" w:rsidP="008E502F">
      <w:pPr>
        <w:suppressAutoHyphens/>
        <w:overflowPunct w:val="0"/>
        <w:autoSpaceDE w:val="0"/>
        <w:autoSpaceDN w:val="0"/>
        <w:adjustRightInd w:val="0"/>
        <w:spacing w:before="120" w:after="0" w:line="240" w:lineRule="auto"/>
        <w:ind w:left="896" w:right="567"/>
        <w:jc w:val="center"/>
        <w:textAlignment w:val="baseline"/>
        <w:rPr>
          <w:rFonts w:cs="Arial"/>
          <w:b/>
          <w:color w:val="000000"/>
          <w:szCs w:val="20"/>
        </w:rPr>
      </w:pPr>
    </w:p>
    <w:p w:rsidR="008E502F" w:rsidRPr="008E502F" w:rsidRDefault="008E502F" w:rsidP="008E502F">
      <w:pPr>
        <w:pStyle w:val="Text1-1"/>
        <w:numPr>
          <w:ilvl w:val="0"/>
          <w:numId w:val="20"/>
        </w:numPr>
        <w:tabs>
          <w:tab w:val="num" w:pos="1976"/>
        </w:tabs>
        <w:ind w:left="360"/>
        <w:rPr>
          <w:rFonts w:ascii="Verdana" w:hAnsi="Verdana"/>
        </w:rPr>
      </w:pPr>
      <w:r w:rsidRPr="008E502F">
        <w:rPr>
          <w:rFonts w:ascii="Verdana" w:hAnsi="Verdana"/>
        </w:rPr>
        <w:t>Koordinátor BOZP se zavazuje poskytnout Objednateli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8E502F" w:rsidRPr="008E502F" w:rsidRDefault="008E502F" w:rsidP="008E502F">
      <w:pPr>
        <w:pStyle w:val="Text1-1"/>
        <w:numPr>
          <w:ilvl w:val="0"/>
          <w:numId w:val="20"/>
        </w:numPr>
        <w:tabs>
          <w:tab w:val="num" w:pos="1976"/>
        </w:tabs>
        <w:ind w:left="360"/>
        <w:rPr>
          <w:rFonts w:ascii="Verdana" w:hAnsi="Verdana"/>
        </w:rPr>
      </w:pPr>
      <w:r w:rsidRPr="008E502F">
        <w:rPr>
          <w:rFonts w:ascii="Verdana" w:hAnsi="Verdana"/>
        </w:rPr>
        <w:t>Koordinátor BOZP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8E502F" w:rsidRPr="008E502F" w:rsidRDefault="008E502F" w:rsidP="008E502F">
      <w:pPr>
        <w:pStyle w:val="Text1-1"/>
        <w:numPr>
          <w:ilvl w:val="0"/>
          <w:numId w:val="20"/>
        </w:numPr>
        <w:tabs>
          <w:tab w:val="num" w:pos="1976"/>
        </w:tabs>
        <w:ind w:left="360"/>
        <w:rPr>
          <w:rFonts w:ascii="Verdana" w:hAnsi="Verdana"/>
        </w:rPr>
      </w:pPr>
      <w:r w:rsidRPr="008E502F">
        <w:rPr>
          <w:rFonts w:ascii="Verdana" w:hAnsi="Verdana"/>
        </w:rPr>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8E502F">
        <w:rPr>
          <w:rFonts w:ascii="Verdana" w:hAnsi="Verdana"/>
        </w:rPr>
        <w:t>ust</w:t>
      </w:r>
      <w:proofErr w:type="spellEnd"/>
      <w:r w:rsidRPr="008E502F">
        <w:rPr>
          <w:rFonts w:ascii="Verdana" w:hAnsi="Verdana"/>
        </w:rPr>
        <w:t>. § 1769 občanského zákoníku smluvní strany prohlašují, že povinnosti poddodavatelů dle tohoto článku nejsou sjednávány jako plnění třetí osoby ve smyslu uvedeného zákonného ustanovení. Koordinátor BOZP se zavazuje zajistit plnění těchto povinností tak, že neuzavře smlouvu s žádným poddodavatelem, který se k těmto povinnostem nezaváže.</w:t>
      </w:r>
    </w:p>
    <w:p w:rsidR="008E502F" w:rsidRPr="008E502F" w:rsidRDefault="008E502F" w:rsidP="008E502F">
      <w:pPr>
        <w:pStyle w:val="Text1-1"/>
        <w:numPr>
          <w:ilvl w:val="0"/>
          <w:numId w:val="20"/>
        </w:numPr>
        <w:tabs>
          <w:tab w:val="num" w:pos="1976"/>
        </w:tabs>
        <w:ind w:left="360"/>
        <w:rPr>
          <w:rFonts w:ascii="Verdana" w:hAnsi="Verdana"/>
        </w:rPr>
      </w:pPr>
      <w:r w:rsidRPr="008E502F">
        <w:rPr>
          <w:rFonts w:ascii="Verdana" w:hAnsi="Verdana"/>
        </w:rPr>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8E502F">
        <w:rPr>
          <w:rFonts w:ascii="Verdana" w:hAnsi="Verdana"/>
        </w:rPr>
        <w:t>ust</w:t>
      </w:r>
      <w:proofErr w:type="spellEnd"/>
      <w:r w:rsidRPr="008E502F">
        <w:rPr>
          <w:rFonts w:ascii="Verdana" w:hAnsi="Verdana"/>
        </w:rPr>
        <w:t xml:space="preserve">. § 1769 </w:t>
      </w:r>
      <w:r w:rsidRPr="008E502F">
        <w:rPr>
          <w:rFonts w:ascii="Verdana" w:hAnsi="Verdana"/>
        </w:rPr>
        <w:lastRenderedPageBreak/>
        <w:t>občanského zákoníku smluvní strany prohlašují, že povinnosti poddodavatelů dle tohoto článku nejsou sjednávány jako plnění třetí osoby ve smyslu uvedeného zákonného ustanovení. Koordinátor BOZP se zavazuje zajistit plnění těchto povinností tak, že neuzavře smlouvu s žádným poddodavatelem, který se k těmto povinnostem nezaváže.</w:t>
      </w:r>
    </w:p>
    <w:p w:rsidR="008E502F" w:rsidRPr="008E502F" w:rsidRDefault="008E502F" w:rsidP="00E25764">
      <w:pPr>
        <w:pStyle w:val="Text1-1"/>
        <w:ind w:left="1069"/>
        <w:rPr>
          <w:rFonts w:ascii="Verdana" w:hAnsi="Verdana"/>
        </w:rPr>
      </w:pPr>
    </w:p>
    <w:sectPr w:rsidR="008E502F" w:rsidRPr="008E502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18A" w:rsidRDefault="00D1618A" w:rsidP="002C1441">
      <w:pPr>
        <w:spacing w:after="0" w:line="240" w:lineRule="auto"/>
      </w:pPr>
      <w:r>
        <w:separator/>
      </w:r>
    </w:p>
  </w:endnote>
  <w:endnote w:type="continuationSeparator" w:id="0">
    <w:p w:rsidR="00D1618A" w:rsidRDefault="00D1618A" w:rsidP="002C1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18A" w:rsidRDefault="00D1618A" w:rsidP="002C1441">
      <w:pPr>
        <w:spacing w:after="0" w:line="240" w:lineRule="auto"/>
      </w:pPr>
      <w:r>
        <w:separator/>
      </w:r>
    </w:p>
  </w:footnote>
  <w:footnote w:type="continuationSeparator" w:id="0">
    <w:p w:rsidR="00D1618A" w:rsidRDefault="00D1618A" w:rsidP="002C1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441" w:rsidRPr="002C1441" w:rsidRDefault="002C1441">
    <w:pPr>
      <w:pStyle w:val="Zhlav"/>
      <w:rPr>
        <w:sz w:val="18"/>
        <w:szCs w:val="18"/>
      </w:rPr>
    </w:pPr>
    <w:r w:rsidRPr="002C1441">
      <w:rPr>
        <w:sz w:val="18"/>
        <w:szCs w:val="18"/>
      </w:rPr>
      <w:t xml:space="preserve">Příloha č. 2 </w:t>
    </w:r>
    <w:r w:rsidR="0014037F">
      <w:rPr>
        <w:sz w:val="18"/>
        <w:szCs w:val="18"/>
      </w:rPr>
      <w:t>Smlouvy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FFA820A"/>
    <w:lvl w:ilvl="0">
      <w:start w:val="1"/>
      <w:numFmt w:val="decimal"/>
      <w:lvlText w:val="%1."/>
      <w:lvlJc w:val="left"/>
      <w:pPr>
        <w:tabs>
          <w:tab w:val="num" w:pos="737"/>
        </w:tabs>
        <w:ind w:left="737" w:hanging="737"/>
      </w:pPr>
      <w:rPr>
        <w:rFonts w:hint="default"/>
      </w:rPr>
    </w:lvl>
    <w:lvl w:ilvl="1">
      <w:start w:val="1"/>
      <w:numFmt w:val="decimal"/>
      <w:lvlText w:val="%2)"/>
      <w:lvlJc w:val="left"/>
      <w:pPr>
        <w:tabs>
          <w:tab w:val="num" w:pos="1446"/>
        </w:tabs>
        <w:ind w:left="1446" w:hanging="737"/>
      </w:pPr>
      <w:rPr>
        <w:rFonts w:ascii="Verdana" w:eastAsiaTheme="minorHAnsi" w:hAnsi="Verdana" w:cstheme="minorBidi" w:hint="default"/>
        <w:sz w:val="18"/>
        <w:szCs w:val="18"/>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4"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6"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0" w15:restartNumberingAfterBreak="0">
    <w:nsid w:val="48B74CB1"/>
    <w:multiLevelType w:val="hybridMultilevel"/>
    <w:tmpl w:val="72A24B10"/>
    <w:lvl w:ilvl="0" w:tplc="3C72465A">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num w:numId="1">
    <w:abstractNumId w:val="7"/>
  </w:num>
  <w:num w:numId="2">
    <w:abstractNumId w:val="13"/>
  </w:num>
  <w:num w:numId="3">
    <w:abstractNumId w:val="4"/>
  </w:num>
  <w:num w:numId="4">
    <w:abstractNumId w:val="1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CFC"/>
    <w:rsid w:val="00127826"/>
    <w:rsid w:val="0014037F"/>
    <w:rsid w:val="001F17D0"/>
    <w:rsid w:val="00214CFC"/>
    <w:rsid w:val="002C1441"/>
    <w:rsid w:val="002D4D35"/>
    <w:rsid w:val="003727EC"/>
    <w:rsid w:val="007E1F1D"/>
    <w:rsid w:val="008E502F"/>
    <w:rsid w:val="00962FA9"/>
    <w:rsid w:val="00BF6A6B"/>
    <w:rsid w:val="00C03495"/>
    <w:rsid w:val="00D1618A"/>
    <w:rsid w:val="00DD6121"/>
    <w:rsid w:val="00E257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8EB2C"/>
  <w15:chartTrackingRefBased/>
  <w15:docId w15:val="{7A834EB2-2253-4D73-A996-589E7411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1-1">
    <w:name w:val="_Text_1-1"/>
    <w:basedOn w:val="Normln"/>
    <w:link w:val="Text1-1Char"/>
    <w:rsid w:val="002D4D35"/>
    <w:pPr>
      <w:spacing w:after="120" w:line="264" w:lineRule="auto"/>
      <w:jc w:val="both"/>
    </w:pPr>
    <w:rPr>
      <w:rFonts w:asciiTheme="minorHAnsi" w:hAnsiTheme="minorHAnsi"/>
      <w:sz w:val="18"/>
      <w:szCs w:val="18"/>
    </w:rPr>
  </w:style>
  <w:style w:type="character" w:customStyle="1" w:styleId="Text1-1Char">
    <w:name w:val="_Text_1-1 Char"/>
    <w:basedOn w:val="Standardnpsmoodstavce"/>
    <w:link w:val="Text1-1"/>
    <w:rsid w:val="002D4D35"/>
    <w:rPr>
      <w:rFonts w:asciiTheme="minorHAnsi" w:hAnsiTheme="minorHAnsi"/>
      <w:sz w:val="18"/>
      <w:szCs w:val="18"/>
    </w:rPr>
  </w:style>
  <w:style w:type="paragraph" w:styleId="Zhlav">
    <w:name w:val="header"/>
    <w:basedOn w:val="Normln"/>
    <w:link w:val="ZhlavChar"/>
    <w:uiPriority w:val="99"/>
    <w:unhideWhenUsed/>
    <w:rsid w:val="002C144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1441"/>
  </w:style>
  <w:style w:type="paragraph" w:styleId="Zpat">
    <w:name w:val="footer"/>
    <w:basedOn w:val="Normln"/>
    <w:link w:val="ZpatChar"/>
    <w:uiPriority w:val="99"/>
    <w:unhideWhenUsed/>
    <w:rsid w:val="002C1441"/>
    <w:pPr>
      <w:tabs>
        <w:tab w:val="center" w:pos="4536"/>
        <w:tab w:val="right" w:pos="9072"/>
      </w:tabs>
      <w:spacing w:after="0" w:line="240" w:lineRule="auto"/>
    </w:pPr>
  </w:style>
  <w:style w:type="character" w:customStyle="1" w:styleId="ZpatChar">
    <w:name w:val="Zápatí Char"/>
    <w:basedOn w:val="Standardnpsmoodstavce"/>
    <w:link w:val="Zpat"/>
    <w:uiPriority w:val="99"/>
    <w:rsid w:val="002C1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4FD60-EBD1-4CBA-AA77-3A1756398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2556</Words>
  <Characters>15082</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17603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Gregorová Elena, Ing.</dc:creator>
  <cp:keywords/>
  <dc:description/>
  <cp:lastModifiedBy>Gregorová Elena, Ing.</cp:lastModifiedBy>
  <cp:revision>10</cp:revision>
  <dcterms:created xsi:type="dcterms:W3CDTF">2024-02-05T12:23:00Z</dcterms:created>
  <dcterms:modified xsi:type="dcterms:W3CDTF">2024-02-07T06:33:00Z</dcterms:modified>
</cp:coreProperties>
</file>