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4EE16143" w:rsidR="003E784C" w:rsidRPr="002C4747" w:rsidRDefault="002C4747" w:rsidP="00F07A3F">
      <w:pPr>
        <w:pStyle w:val="TPTitul2"/>
        <w:tabs>
          <w:tab w:val="left" w:pos="703"/>
          <w:tab w:val="left" w:pos="6631"/>
        </w:tabs>
        <w:jc w:val="both"/>
        <w:rPr>
          <w:b w:val="0"/>
          <w:sz w:val="18"/>
          <w:szCs w:val="18"/>
        </w:rPr>
      </w:pPr>
      <w:r w:rsidRPr="002C4747">
        <w:rPr>
          <w:b w:val="0"/>
          <w:sz w:val="18"/>
          <w:szCs w:val="18"/>
        </w:rPr>
        <w:t>Příloha č. 5 Smlouvy</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bookmarkStart w:id="0" w:name="_GoBack"/>
      <w:bookmarkEnd w:id="0"/>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2C4747">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lastRenderedPageBreak/>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lastRenderedPageBreak/>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lastRenderedPageBreak/>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62A62ECA"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C4747">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C4747">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2C801A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50DEE57"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30746F56"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C4747">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C4747">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747"/>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66D6D"/>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3.xml><?xml version="1.0" encoding="utf-8"?>
<ds:datastoreItem xmlns:ds="http://schemas.openxmlformats.org/officeDocument/2006/customXml" ds:itemID="{98D264CF-6FF9-4E51-8A0D-93D3BB01360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www.w3.org/XML/1998/namespace"/>
  </ds:schemaRefs>
</ds:datastoreItem>
</file>

<file path=customXml/itemProps4.xml><?xml version="1.0" encoding="utf-8"?>
<ds:datastoreItem xmlns:ds="http://schemas.openxmlformats.org/officeDocument/2006/customXml" ds:itemID="{A4717184-CBE1-4997-9620-D07601E1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14788</Words>
  <Characters>87250</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2024-01-11T11:05:00Z</dcterms:created>
  <dcterms:modified xsi:type="dcterms:W3CDTF">2024-01-16T13:11:00Z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