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1D3939F" w:rsidR="00F422D3" w:rsidRDefault="00F422D3" w:rsidP="00B42F40">
      <w:pPr>
        <w:pStyle w:val="Titul2"/>
      </w:pPr>
      <w:r>
        <w:t>Název zakázky: „</w:t>
      </w:r>
      <w:r w:rsidR="00785DA5" w:rsidRPr="00785DA5">
        <w:t>Výměna pražců a kolejnic v úseku Bohumilice v Čechách – Vimperk</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171F3C72" w:rsidR="00FB598F" w:rsidRDefault="00FB598F" w:rsidP="00FB598F">
      <w:pPr>
        <w:pStyle w:val="Textbezodsazen"/>
        <w:spacing w:after="0"/>
      </w:pPr>
      <w:r>
        <w:t xml:space="preserve">evidenční číslo v RVZ: </w:t>
      </w:r>
      <w:r w:rsidR="00527E9E" w:rsidRPr="00785DA5">
        <w:t>6542</w:t>
      </w:r>
      <w:r w:rsidR="00785DA5" w:rsidRPr="00785DA5">
        <w:t>3085</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2A026610"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85DA5">
        <w:t xml:space="preserve">65423085 </w:t>
      </w:r>
      <w:r w:rsidRPr="00F97DBD">
        <w:t xml:space="preserve">svůj úmysl zadat </w:t>
      </w:r>
      <w:r>
        <w:t xml:space="preserve">ve výběrovém řízení </w:t>
      </w:r>
      <w:r w:rsidRPr="00F97DBD">
        <w:t xml:space="preserve">veřejnou zakázku s názvem </w:t>
      </w:r>
      <w:r w:rsidRPr="003F35F3">
        <w:rPr>
          <w:b/>
        </w:rPr>
        <w:t>„</w:t>
      </w:r>
      <w:r w:rsidR="00785DA5" w:rsidRPr="00785DA5">
        <w:rPr>
          <w:b/>
        </w:rPr>
        <w:t>Výměna pražců a kolejnic v úseku Bohumilice v Čechách – Vimperk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08C4DE00" w:rsidR="00F24489" w:rsidRDefault="00F24489" w:rsidP="00F24489">
      <w:pPr>
        <w:pStyle w:val="Textbezslovn"/>
      </w:pPr>
      <w:r w:rsidRPr="00785DA5">
        <w:t>Rozpis Ceny Díla dle jednotlivých položek je uveden v Příloze č. 4 této Smlouvy</w:t>
      </w:r>
      <w:r w:rsidR="00785DA5" w:rsidRPr="00785DA5">
        <w:t>.</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342EA7D2" w:rsidR="00FB598F" w:rsidRPr="00F24489" w:rsidRDefault="00856B99" w:rsidP="00F24489">
      <w:pPr>
        <w:pStyle w:val="Textbezslovn"/>
        <w:rPr>
          <w:b/>
        </w:rPr>
      </w:pPr>
      <w:r w:rsidRPr="00785DA5">
        <w:rPr>
          <w:b/>
        </w:rPr>
        <w:lastRenderedPageBreak/>
        <w:t>Termín</w:t>
      </w:r>
      <w:r w:rsidR="00FB598F" w:rsidRPr="00785DA5">
        <w:rPr>
          <w:b/>
        </w:rPr>
        <w:t xml:space="preserve"> dokončení díla je: </w:t>
      </w:r>
      <w:r w:rsidR="00785DA5">
        <w:rPr>
          <w:b/>
        </w:rPr>
        <w:t>30.09.2025</w:t>
      </w:r>
    </w:p>
    <w:p w14:paraId="433B5167" w14:textId="1EC9DA6A" w:rsidR="00F24489" w:rsidRDefault="00F24489" w:rsidP="00F24489">
      <w:pPr>
        <w:pStyle w:val="Textbezslovn"/>
      </w:pPr>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35E24A89" w:rsidR="00F24489" w:rsidRPr="00785DA5" w:rsidRDefault="00F24489" w:rsidP="00785DA5">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785DA5">
        <w:t xml:space="preserve">. </w:t>
      </w:r>
    </w:p>
    <w:p w14:paraId="2F86487A" w14:textId="77777777" w:rsidR="00F24489" w:rsidRPr="00785DA5" w:rsidRDefault="00F24489" w:rsidP="00F24489">
      <w:pPr>
        <w:pStyle w:val="Text1-1"/>
      </w:pPr>
      <w:r w:rsidRPr="00785DA5">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64EE5C0A" w:rsidR="008E2B90" w:rsidRPr="00785DA5" w:rsidRDefault="005F1A5C" w:rsidP="00785DA5">
      <w:pPr>
        <w:pStyle w:val="Text1-1"/>
      </w:pPr>
      <w:r w:rsidRPr="00785DA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785DA5">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2DA64B72" w:rsidR="00A1575E" w:rsidRPr="009A12BD" w:rsidRDefault="00A1575E" w:rsidP="00D16407">
      <w:pPr>
        <w:pStyle w:val="Textbezslovn"/>
      </w:pPr>
      <w:r w:rsidRPr="009A12BD">
        <w:t>Součet hodnot dle výše uvedeného písm.a) a písm.b) se musí rovnat 100</w:t>
      </w:r>
      <w:r w:rsidR="00920E2B">
        <w:t xml:space="preserve"> </w:t>
      </w:r>
      <w:r w:rsidRPr="009A12BD">
        <w:t>%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2FF4972E"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znevýhodněných na trhu práce.</w:t>
      </w:r>
      <w:r w:rsidR="00785DA5">
        <w:rPr>
          <w:rStyle w:val="Tun"/>
          <w:b w:val="0"/>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w:t>
      </w:r>
      <w:r>
        <w:rPr>
          <w:rStyle w:val="Tun"/>
          <w:b w:val="0"/>
        </w:rPr>
        <w:lastRenderedPageBreak/>
        <w:t>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Pr="00785DA5" w:rsidRDefault="00406FAD" w:rsidP="00406FAD">
      <w:pPr>
        <w:pStyle w:val="Text1-2"/>
        <w:numPr>
          <w:ilvl w:val="0"/>
          <w:numId w:val="43"/>
        </w:numPr>
        <w:rPr>
          <w:rStyle w:val="Tun"/>
          <w:b w:val="0"/>
        </w:rPr>
      </w:pPr>
      <w:r>
        <w:rPr>
          <w:rStyle w:val="Tun"/>
          <w:b w:val="0"/>
        </w:rPr>
        <w:t xml:space="preserve">nebylo možné provádět práce na celém Díle z důvodu na straně Objednatele, Vyšší moci, legislativních předpisů či rozhodnutí </w:t>
      </w:r>
      <w:r w:rsidRPr="00785DA5">
        <w:rPr>
          <w:rStyle w:val="Tun"/>
          <w:b w:val="0"/>
        </w:rPr>
        <w:t>příslušných správních orgánů.</w:t>
      </w:r>
    </w:p>
    <w:p w14:paraId="23CEAFB7" w14:textId="43AFDCDF" w:rsidR="00874B37" w:rsidRPr="00785DA5" w:rsidRDefault="00874B37" w:rsidP="00874B37">
      <w:pPr>
        <w:pStyle w:val="Text1-2"/>
        <w:numPr>
          <w:ilvl w:val="0"/>
          <w:numId w:val="43"/>
        </w:numPr>
        <w:tabs>
          <w:tab w:val="left" w:pos="708"/>
        </w:tabs>
        <w:rPr>
          <w:rStyle w:val="Tun"/>
          <w:b w:val="0"/>
        </w:rPr>
      </w:pPr>
      <w:r w:rsidRPr="00785DA5">
        <w:rPr>
          <w:rStyle w:val="Tun"/>
          <w:b w:val="0"/>
        </w:rPr>
        <w:t xml:space="preserve">probíhalo plnění etapy Díla, definované výše v odst. 6.4. této Smlouvy, na níž se nevztahuje povinnost </w:t>
      </w:r>
      <w:r w:rsidRPr="00785DA5">
        <w:rPr>
          <w:rStyle w:val="Tun"/>
        </w:rPr>
        <w:t>zapojení osob znevýhodněných na trhu práce.</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51C1D12" w14:textId="120B3F73"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w:t>
      </w:r>
      <w:r w:rsidR="00CD6D5C" w:rsidRPr="00785DA5">
        <w:rPr>
          <w:rStyle w:val="Tun"/>
          <w:b w:val="0"/>
        </w:rPr>
        <w:t xml:space="preserve">Přílohu č. </w:t>
      </w:r>
      <w:r w:rsidR="00D40316" w:rsidRPr="00785DA5">
        <w:rPr>
          <w:rStyle w:val="Tun"/>
          <w:b w:val="0"/>
        </w:rPr>
        <w:t>9</w:t>
      </w:r>
      <w:r w:rsidR="00CD6D5C" w:rsidRPr="00785DA5">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DC5C2B" w14:textId="77777777" w:rsidR="00920E2B" w:rsidRDefault="00920E2B" w:rsidP="00920E2B">
      <w:pPr>
        <w:pStyle w:val="Text1-1"/>
        <w:numPr>
          <w:ilvl w:val="1"/>
          <w:numId w:val="9"/>
        </w:numPr>
      </w:pPr>
      <w:r>
        <w:rPr>
          <w:rFonts w:eastAsia="Calibri"/>
        </w:rPr>
        <w:t>Zhotovitel</w:t>
      </w:r>
      <w:r w:rsidRPr="0073792E">
        <w:t xml:space="preserve"> prohlašuje, že</w:t>
      </w:r>
      <w:r>
        <w:t>:</w:t>
      </w:r>
    </w:p>
    <w:p w14:paraId="39C8E218" w14:textId="77777777" w:rsidR="00920E2B" w:rsidRDefault="00920E2B" w:rsidP="00920E2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6A9691F3" w14:textId="77777777" w:rsidR="00920E2B" w:rsidRDefault="00920E2B" w:rsidP="00920E2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D6A1250" w14:textId="77777777" w:rsidR="00920E2B" w:rsidRDefault="00920E2B" w:rsidP="00920E2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7C5E95">
        <w:rPr>
          <w:b/>
          <w:bCs/>
          <w:i/>
          <w:iCs/>
        </w:rPr>
        <w:t>„Sankční seznamy“),</w:t>
      </w:r>
    </w:p>
    <w:p w14:paraId="594D4447" w14:textId="77777777" w:rsidR="00920E2B" w:rsidRPr="0029677D" w:rsidRDefault="00920E2B" w:rsidP="00920E2B">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2BD31E9" w14:textId="02955D30" w:rsidR="005F1A5C" w:rsidRPr="0029677D" w:rsidRDefault="005F1A5C" w:rsidP="00920E2B">
      <w:pPr>
        <w:pStyle w:val="Text1-1"/>
      </w:pPr>
      <w:r w:rsidRPr="0029677D">
        <w:t xml:space="preserve">Je-li Zhotovitelem sdružení více osob, platí podmínky dle </w:t>
      </w:r>
      <w:r w:rsidR="00920E2B">
        <w:t>tohoto článku 7</w:t>
      </w:r>
      <w:r w:rsidRPr="0029677D">
        <w:t xml:space="preserve"> Smlouvy také jednotlivě pro všechny osoby v rámci Zhotovitele sdružené a to bez ohledu na právní formu tohoto sdružení.</w:t>
      </w:r>
    </w:p>
    <w:p w14:paraId="2F3075B0" w14:textId="466F174A" w:rsidR="005F1A5C" w:rsidRPr="0029677D" w:rsidRDefault="005F1A5C" w:rsidP="005F1A5C">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w:t>
      </w:r>
      <w:r w:rsidR="00920E2B">
        <w:t xml:space="preserve"> 7</w:t>
      </w:r>
      <w:r w:rsidRPr="0029677D">
        <w:t xml:space="preserve"> Smlouvy, oznámí tuto skutečnost bez zbytečného odkladu, nejpozději však do 3 pracovních dnů ode dne, kdy přestal splňovat výše uvedené podmínky, Objednateli.</w:t>
      </w:r>
    </w:p>
    <w:p w14:paraId="711FA3B3" w14:textId="13A3B850"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20E2B" w:rsidRPr="00920E2B">
        <w:t xml:space="preserve"> </w:t>
      </w:r>
      <w:r w:rsidR="00920E2B">
        <w:t>n</w:t>
      </w:r>
      <w:r w:rsidR="00920E2B" w:rsidRPr="002B73F3">
        <w:rPr>
          <w:rStyle w:val="normaltextrun"/>
          <w:bdr w:val="none" w:sz="0" w:space="0" w:color="auto" w:frame="1"/>
        </w:rPr>
        <w:t>ařízení</w:t>
      </w:r>
      <w:r w:rsidR="00920E2B">
        <w:rPr>
          <w:rStyle w:val="normaltextrun"/>
          <w:bdr w:val="none" w:sz="0" w:space="0" w:color="auto" w:frame="1"/>
        </w:rPr>
        <w:t>m</w:t>
      </w:r>
      <w:r w:rsidR="00920E2B" w:rsidRPr="002B73F3">
        <w:rPr>
          <w:rStyle w:val="normaltextrun"/>
          <w:bdr w:val="none" w:sz="0" w:space="0" w:color="auto" w:frame="1"/>
        </w:rPr>
        <w:t xml:space="preserve"> Rady (EU) č. 208/2014 ze dne 5. března 2014 o omezujících opatřeních vůči některým osobám, subjektům a orgánům vzhledem k</w:t>
      </w:r>
      <w:r w:rsidR="00920E2B">
        <w:rPr>
          <w:rStyle w:val="normaltextrun"/>
          <w:bdr w:val="none" w:sz="0" w:space="0" w:color="auto" w:frame="1"/>
        </w:rPr>
        <w:t> </w:t>
      </w:r>
      <w:r w:rsidR="00920E2B" w:rsidRPr="002B73F3">
        <w:rPr>
          <w:rStyle w:val="normaltextrun"/>
          <w:bdr w:val="none" w:sz="0" w:space="0" w:color="auto" w:frame="1"/>
        </w:rPr>
        <w:t>situaci na Ukrajině, ve znění pozdějších předpisů</w:t>
      </w:r>
      <w:r w:rsidR="00920E2B">
        <w:rPr>
          <w:rStyle w:val="normaltextrun"/>
          <w:bdr w:val="none" w:sz="0" w:space="0" w:color="auto" w:frame="1"/>
        </w:rPr>
        <w:t>,</w:t>
      </w:r>
      <w:r w:rsidR="00920E2B" w:rsidRPr="007A08B0">
        <w:t xml:space="preserve"> a dalších prováděcích předpisů k t</w:t>
      </w:r>
      <w:r w:rsidR="00920E2B">
        <w:t>ěmto</w:t>
      </w:r>
      <w:r w:rsidR="00920E2B" w:rsidRPr="007A08B0">
        <w:t xml:space="preserve"> nařízení</w:t>
      </w:r>
      <w:r w:rsidR="00920E2B">
        <w:t>m</w:t>
      </w:r>
      <w:r w:rsidR="00920E2B" w:rsidRPr="0029677D">
        <w:t>.</w:t>
      </w:r>
    </w:p>
    <w:p w14:paraId="1D3ED5B4" w14:textId="77777777" w:rsidR="00920E2B" w:rsidRPr="0029677D" w:rsidRDefault="00920E2B" w:rsidP="00920E2B">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6C2CBA36" w:rsidR="005F1A5C" w:rsidRPr="0029677D" w:rsidRDefault="00920E2B" w:rsidP="005F1A5C">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0"/>
      <w:r w:rsidR="005F1A5C" w:rsidRPr="0029677D">
        <w:t>Zhotovitel je dále povinen z</w:t>
      </w:r>
      <w:r w:rsidR="005F1A5C" w:rsidRPr="00785DA5">
        <w:t>aplatit za každé jednotlivé porušení povinností dle předchozí věty smluvní pokutu ve výši 5 % procent z Ceny Díla bez DPH sjednané dle této Smlouvy. Ustanovení § 2004 odst.</w:t>
      </w:r>
      <w:r w:rsidR="005F1A5C" w:rsidRPr="0029677D">
        <w:t xml:space="preserve">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920E2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1EECD18A"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920E2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785DA5">
              <w:t>včetně příloh</w:t>
            </w:r>
          </w:p>
        </w:tc>
      </w:tr>
      <w:tr w:rsidR="00DC66BA" w:rsidRPr="00F97DBD" w14:paraId="3F0A1BED" w14:textId="77777777" w:rsidTr="00DC66BA">
        <w:trPr>
          <w:jc w:val="center"/>
        </w:trPr>
        <w:tc>
          <w:tcPr>
            <w:tcW w:w="2031" w:type="pct"/>
          </w:tcPr>
          <w:p w14:paraId="009EA50A" w14:textId="77777777" w:rsidR="00DC66BA" w:rsidRPr="00F97DBD" w:rsidRDefault="00920E2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25FBC91A" w:rsidR="00DC66BA" w:rsidRPr="00F97DBD" w:rsidRDefault="00785DA5" w:rsidP="00DC66BA">
            <w:pPr>
              <w:pStyle w:val="Textbezslovn"/>
              <w:jc w:val="left"/>
            </w:pPr>
            <w:r>
              <w:t>NEOBSAHUJE</w:t>
            </w:r>
          </w:p>
        </w:tc>
      </w:tr>
      <w:tr w:rsidR="00DC66BA" w:rsidRPr="00F97DBD" w14:paraId="67D19EE1" w14:textId="77777777" w:rsidTr="00DC66BA">
        <w:trPr>
          <w:jc w:val="center"/>
        </w:trPr>
        <w:tc>
          <w:tcPr>
            <w:tcW w:w="2031" w:type="pct"/>
          </w:tcPr>
          <w:p w14:paraId="01DE36D5" w14:textId="77777777" w:rsidR="00DC66BA" w:rsidRPr="00F97DBD" w:rsidRDefault="00920E2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920E2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920E2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920E2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920E2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785DA5" w:rsidRDefault="009F79CE" w:rsidP="00243BC3">
      <w:pPr>
        <w:pStyle w:val="Odstavec1-1a"/>
        <w:numPr>
          <w:ilvl w:val="0"/>
          <w:numId w:val="40"/>
        </w:numPr>
        <w:tabs>
          <w:tab w:val="clear" w:pos="1077"/>
        </w:tabs>
        <w:ind w:left="426" w:hanging="426"/>
      </w:pPr>
      <w:r w:rsidRPr="00785DA5">
        <w:t xml:space="preserve">Technické kvalitativní podmínky staveb státních drah (TKP) </w:t>
      </w:r>
    </w:p>
    <w:p w14:paraId="64C4548A" w14:textId="77777777" w:rsidR="009F79CE" w:rsidRPr="00785DA5" w:rsidRDefault="009F79CE" w:rsidP="009F79CE">
      <w:pPr>
        <w:pStyle w:val="Textbezslovn"/>
        <w:ind w:left="426"/>
      </w:pPr>
      <w:r w:rsidRPr="00785DA5">
        <w:t xml:space="preserve">Technické kvalitativní podmínky staveb státních drah (TKP) nejsou pevně připojeny ke Smlouvě, ale jsou přístupné na </w:t>
      </w:r>
      <w:hyperlink r:id="rId22" w:history="1">
        <w:r w:rsidRPr="00785DA5">
          <w:rPr>
            <w:rStyle w:val="Hypertextovodkaz"/>
            <w:noProof w:val="0"/>
          </w:rPr>
          <w:t>http://typdok.tudc.cz</w:t>
        </w:r>
      </w:hyperlink>
      <w:r w:rsidRPr="00785DA5">
        <w:t>; byly taktéž poskytnuty jako součást zadávací dokumentace uveřejněné na profilu zadavatele.</w:t>
      </w:r>
    </w:p>
    <w:p w14:paraId="5AEC17E2" w14:textId="77777777" w:rsidR="009F79CE" w:rsidRPr="00785DA5" w:rsidRDefault="009F79CE" w:rsidP="009F79CE">
      <w:pPr>
        <w:pStyle w:val="Textbezslovn"/>
        <w:ind w:left="426"/>
      </w:pPr>
      <w:r w:rsidRPr="00785DA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785DA5" w:rsidRDefault="009F79CE" w:rsidP="009F79CE">
      <w:pPr>
        <w:pStyle w:val="Odstavec1-1a"/>
        <w:numPr>
          <w:ilvl w:val="0"/>
          <w:numId w:val="29"/>
        </w:numPr>
        <w:tabs>
          <w:tab w:val="clear" w:pos="1077"/>
        </w:tabs>
        <w:ind w:left="426" w:hanging="426"/>
        <w:contextualSpacing w:val="0"/>
      </w:pPr>
      <w:r w:rsidRPr="00785DA5">
        <w:t>Zvláštní technické podmínky</w:t>
      </w:r>
    </w:p>
    <w:p w14:paraId="366F74A6" w14:textId="77777777" w:rsidR="009F79CE" w:rsidRPr="00785DA5" w:rsidRDefault="009F79CE" w:rsidP="009F79CE">
      <w:pPr>
        <w:pStyle w:val="Odstavec1-1a"/>
        <w:numPr>
          <w:ilvl w:val="0"/>
          <w:numId w:val="0"/>
        </w:numPr>
        <w:ind w:left="426"/>
        <w:contextualSpacing w:val="0"/>
        <w:jc w:val="left"/>
        <w:rPr>
          <w:bCs/>
        </w:rPr>
      </w:pPr>
      <w:r w:rsidRPr="00785DA5">
        <w:t>Zvláštní technické podmínky nejsou</w:t>
      </w:r>
      <w:r w:rsidRPr="00785DA5">
        <w:rPr>
          <w:bCs/>
        </w:rPr>
        <w:t xml:space="preserve"> pevně připojeny ke Smlouvě, zhotovitel </w:t>
      </w:r>
      <w:r w:rsidRPr="00785DA5">
        <w:t xml:space="preserve">Zvláštní technické podmínky </w:t>
      </w:r>
      <w:r w:rsidRPr="00785DA5">
        <w:rPr>
          <w:bCs/>
        </w:rPr>
        <w:t xml:space="preserve">obdržel společně se zadávací dokumentací prostřednictvím profilu zadavatele </w:t>
      </w:r>
      <w:hyperlink r:id="rId23" w:history="1">
        <w:r w:rsidRPr="00785DA5">
          <w:rPr>
            <w:rStyle w:val="Hypertextovodkaz"/>
            <w:bCs/>
            <w:noProof w:val="0"/>
          </w:rPr>
          <w:t>https://zakazky.spravazeleznic.cz/</w:t>
        </w:r>
      </w:hyperlink>
      <w:r w:rsidRPr="00785DA5">
        <w:rPr>
          <w:bCs/>
        </w:rPr>
        <w:t>.</w:t>
      </w:r>
    </w:p>
    <w:p w14:paraId="6CDADC1E" w14:textId="77777777" w:rsidR="009F79CE" w:rsidRPr="00935FE2" w:rsidRDefault="009F79CE" w:rsidP="009F79CE">
      <w:pPr>
        <w:pStyle w:val="Odstavec1-1a"/>
        <w:numPr>
          <w:ilvl w:val="0"/>
          <w:numId w:val="0"/>
        </w:numPr>
        <w:ind w:left="426"/>
        <w:contextualSpacing w:val="0"/>
      </w:pPr>
      <w:r w:rsidRPr="00785DA5">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3CC8C72A" w:rsidR="006C0BB6" w:rsidRPr="00785DA5" w:rsidRDefault="006C0BB6" w:rsidP="00785DA5">
      <w:pPr>
        <w:pStyle w:val="Odrka1-1"/>
        <w:rPr>
          <w:highlight w:val="green"/>
        </w:rPr>
        <w:sectPr w:rsidR="006C0BB6" w:rsidRPr="00785DA5" w:rsidSect="004E70C8">
          <w:footerReference w:type="default" r:id="rId26"/>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Pr="00785DA5" w:rsidRDefault="00F12E17" w:rsidP="00F12E17">
      <w:pPr>
        <w:pStyle w:val="Odrka1-1"/>
        <w:numPr>
          <w:ilvl w:val="0"/>
          <w:numId w:val="0"/>
        </w:numPr>
        <w:ind w:left="426"/>
        <w:rPr>
          <w:b/>
        </w:rPr>
      </w:pP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785DA5">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5D3BFD37" w14:textId="77777777" w:rsidR="00943096" w:rsidRDefault="00943096" w:rsidP="00502690">
      <w:pPr>
        <w:pStyle w:val="Textbezodsazen"/>
        <w:rPr>
          <w:b/>
        </w:rPr>
      </w:pPr>
    </w:p>
    <w:p w14:paraId="0EE3902E" w14:textId="7926B6B4" w:rsidR="00ED29F1" w:rsidRDefault="00ED29F1" w:rsidP="00502690">
      <w:pPr>
        <w:pStyle w:val="Textbezodsazen"/>
        <w:rPr>
          <w:b/>
        </w:rPr>
      </w:pPr>
      <w:r>
        <w:rPr>
          <w:b/>
        </w:rPr>
        <w:lastRenderedPageBreak/>
        <w:t>Za Zhotovitele:</w:t>
      </w:r>
    </w:p>
    <w:p w14:paraId="4E85361B" w14:textId="77777777" w:rsidR="00943096" w:rsidRPr="00ED29F1" w:rsidRDefault="00943096"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Default="002038D5" w:rsidP="00165977">
      <w:pPr>
        <w:pStyle w:val="Tabulka"/>
      </w:pPr>
    </w:p>
    <w:p w14:paraId="19665F36" w14:textId="77777777" w:rsidR="00943096" w:rsidRDefault="00943096" w:rsidP="00165977">
      <w:pPr>
        <w:pStyle w:val="Tabulka"/>
      </w:pPr>
    </w:p>
    <w:p w14:paraId="6907BFB7" w14:textId="77777777" w:rsidR="00943096" w:rsidRDefault="00943096" w:rsidP="00165977">
      <w:pPr>
        <w:pStyle w:val="Tabulka"/>
      </w:pPr>
    </w:p>
    <w:p w14:paraId="1FBE0067" w14:textId="77777777" w:rsidR="00943096" w:rsidRPr="00F95FBD" w:rsidRDefault="00943096" w:rsidP="00165977">
      <w:pPr>
        <w:pStyle w:val="Tabulka"/>
      </w:pPr>
    </w:p>
    <w:p w14:paraId="33DDA1FD" w14:textId="77777777" w:rsidR="00165977" w:rsidRPr="00F95FBD" w:rsidRDefault="00165977" w:rsidP="00165977">
      <w:pPr>
        <w:pStyle w:val="Tabulka"/>
      </w:pPr>
    </w:p>
    <w:p w14:paraId="589C4159" w14:textId="3F030B4B" w:rsidR="00165977" w:rsidRPr="00F95FBD" w:rsidRDefault="00B950F7" w:rsidP="00165977">
      <w:pPr>
        <w:pStyle w:val="Nadpistabulky"/>
        <w:rPr>
          <w:sz w:val="18"/>
          <w:szCs w:val="18"/>
        </w:rPr>
      </w:pPr>
      <w:r>
        <w:rPr>
          <w:sz w:val="18"/>
          <w:szCs w:val="18"/>
        </w:rPr>
        <w:lastRenderedPageBreak/>
        <w:t>Úředně oprávněný</w:t>
      </w:r>
      <w:r w:rsidR="00165977" w:rsidRPr="00F95FBD">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w:t>
            </w:r>
            <w:r w:rsidRPr="00943096">
              <w:rPr>
                <w:sz w:val="18"/>
              </w:rPr>
              <w:t>odcizení 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785DA5" w:rsidRDefault="00D40316" w:rsidP="00D40316">
      <w:pPr>
        <w:pStyle w:val="Nadpisbezsl1-2"/>
        <w:rPr>
          <w:rFonts w:asciiTheme="minorHAnsi" w:hAnsiTheme="minorHAnsi"/>
          <w:b w:val="0"/>
          <w:bCs/>
          <w:sz w:val="18"/>
          <w:szCs w:val="18"/>
        </w:rPr>
      </w:pPr>
      <w:r w:rsidRPr="00785DA5">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785DA5">
        <w:rPr>
          <w:b w:val="0"/>
          <w:bCs/>
        </w:rPr>
        <w:t xml:space="preserve"> </w:t>
      </w:r>
      <w:hyperlink r:id="rId33" w:history="1">
        <w:r w:rsidRPr="00785DA5">
          <w:rPr>
            <w:rStyle w:val="Hypertextovodkaz"/>
            <w:b w:val="0"/>
            <w:bCs/>
            <w:noProof w:val="0"/>
            <w:sz w:val="18"/>
            <w:szCs w:val="18"/>
          </w:rPr>
          <w:t>https://zakazky.spravazeleznic.cz/</w:t>
        </w:r>
      </w:hyperlink>
      <w:r w:rsidRPr="00785DA5">
        <w:rPr>
          <w:b w:val="0"/>
          <w:bCs/>
          <w:sz w:val="18"/>
          <w:szCs w:val="18"/>
        </w:rPr>
        <w:t>.</w:t>
      </w:r>
      <w:r w:rsidRPr="00785DA5">
        <w:rPr>
          <w:bCs/>
        </w:rPr>
        <w:t xml:space="preserve"> </w:t>
      </w:r>
    </w:p>
    <w:p w14:paraId="4D2432E5" w14:textId="77777777" w:rsidR="00D40316" w:rsidRPr="004F2898" w:rsidRDefault="00D40316" w:rsidP="00D40316">
      <w:pPr>
        <w:pStyle w:val="Textbezodsazen"/>
      </w:pPr>
      <w:r w:rsidRPr="00785DA5">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C7AAF19"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0B93CA6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850867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29E591BF"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057E68A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1D92C30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C194E2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1BCE7A1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4CC1AB3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7BF61AF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63A1C2B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E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85DA5"/>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0E2B"/>
    <w:rsid w:val="00922385"/>
    <w:rsid w:val="009223DF"/>
    <w:rsid w:val="00936091"/>
    <w:rsid w:val="00940D8A"/>
    <w:rsid w:val="00943096"/>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597B"/>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920E2B"/>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920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zakazky.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643</TotalTime>
  <Pages>23</Pages>
  <Words>5963</Words>
  <Characters>35186</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Navara Sabina, Mgr.</cp:lastModifiedBy>
  <cp:revision>92</cp:revision>
  <cp:lastPrinted>2019-09-27T11:09:00Z</cp:lastPrinted>
  <dcterms:created xsi:type="dcterms:W3CDTF">2019-03-19T08:45:00Z</dcterms:created>
  <dcterms:modified xsi:type="dcterms:W3CDTF">2024-02-06T14:35:00Z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