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4995E6A9" w:rsidR="00F422D3" w:rsidRDefault="00F422D3" w:rsidP="00B42F40">
      <w:pPr>
        <w:pStyle w:val="Titul2"/>
      </w:pPr>
      <w:r>
        <w:t>Název zakázky: „</w:t>
      </w:r>
      <w:r w:rsidR="0029636B" w:rsidRPr="0029636B">
        <w:t xml:space="preserve">Výstavba haly pro měřící vozy pevných trakčních </w:t>
      </w:r>
      <w:proofErr w:type="gramStart"/>
      <w:r w:rsidR="0029636B" w:rsidRPr="0029636B">
        <w:t>zařízení - Bohumín</w:t>
      </w:r>
      <w:proofErr w:type="gramEnd"/>
      <w:r w:rsidR="0029636B" w:rsidRPr="0029636B">
        <w:t>“ -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59A5C072" w:rsidR="00F91101" w:rsidRPr="005C7EED" w:rsidRDefault="00A73C3E" w:rsidP="00F91101">
      <w:pPr>
        <w:spacing w:after="120"/>
        <w:ind w:left="567"/>
        <w:jc w:val="both"/>
        <w:rPr>
          <w:rFonts w:ascii="Verdana" w:hAnsi="Verdana" w:cs="Calibri"/>
        </w:rPr>
      </w:pPr>
      <w:r w:rsidRPr="00A73C3E">
        <w:t>Mgr. Jan Foldyna, tel. +420 601 160 009</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0C5B584D" w:rsidR="00F91101" w:rsidRPr="005C7EED" w:rsidRDefault="00A73C3E" w:rsidP="00F91101">
      <w:pPr>
        <w:spacing w:after="120"/>
        <w:ind w:left="567"/>
        <w:jc w:val="both"/>
        <w:rPr>
          <w:rFonts w:ascii="Verdana" w:hAnsi="Verdana" w:cs="Calibri"/>
        </w:rPr>
      </w:pPr>
      <w:r w:rsidRPr="00A73C3E">
        <w:t>Ing. Vojtěch Kuchař, tel. +420 702 164 084</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65149EC5" w:rsidR="00F91101" w:rsidRDefault="00A73C3E" w:rsidP="00F91101">
      <w:pPr>
        <w:pStyle w:val="Textbezodsazen"/>
        <w:ind w:left="567"/>
      </w:pPr>
      <w:r w:rsidRPr="00A73C3E">
        <w:t>Ing. Jiří Adamec, tel. +420 702 164 081</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214315F8" w:rsidR="00F422D3" w:rsidRDefault="00F422D3" w:rsidP="00B42F40">
      <w:pPr>
        <w:pStyle w:val="Textbezodsazen"/>
      </w:pPr>
      <w:r>
        <w:t xml:space="preserve">ISPROFOND: </w:t>
      </w:r>
      <w:r w:rsidR="00425AAA" w:rsidRPr="00425AAA">
        <w:t>3273214901/ 5813520029</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0B459D96"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A73C3E" w:rsidRPr="00A73C3E">
        <w:rPr>
          <w:b/>
          <w:bCs/>
        </w:rPr>
        <w:t>„Výstavba haly pro měřící vozy pevných trakčních zařízení - Bohumín“ -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databázi zjištěných závad, </w:t>
      </w:r>
      <w:proofErr w:type="gramStart"/>
      <w:r w:rsidRPr="005C7EED">
        <w:rPr>
          <w:rFonts w:ascii="Verdana" w:hAnsi="Verdana" w:cs="Calibri"/>
        </w:rPr>
        <w:t>vytváří</w:t>
      </w:r>
      <w:proofErr w:type="gramEnd"/>
      <w:r w:rsidRPr="005C7EED">
        <w:rPr>
          <w:rFonts w:ascii="Verdana" w:hAnsi="Verdana" w:cs="Calibri"/>
        </w:rPr>
        <w:t xml:space="preserve">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w:t>
      </w:r>
      <w:proofErr w:type="gramStart"/>
      <w:r w:rsidRPr="005C7EED">
        <w:t>ručí</w:t>
      </w:r>
      <w:proofErr w:type="gramEnd"/>
      <w:r w:rsidRPr="005C7EED">
        <w:t xml:space="preserve">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 xml:space="preserve">i běžet lhůta splatnosti a celá lhůta </w:t>
      </w:r>
      <w:proofErr w:type="gramStart"/>
      <w:r w:rsidRPr="005C7EED">
        <w:t>běží</w:t>
      </w:r>
      <w:proofErr w:type="gramEnd"/>
      <w:r w:rsidRPr="005C7EED">
        <w:t xml:space="preserve">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0F7E3D83" w:rsidR="00F91101" w:rsidRPr="005C7EED" w:rsidRDefault="00F91101" w:rsidP="00F7247A">
      <w:pPr>
        <w:pStyle w:val="Text1-2"/>
        <w:numPr>
          <w:ilvl w:val="2"/>
          <w:numId w:val="8"/>
        </w:numPr>
        <w:tabs>
          <w:tab w:val="clear" w:pos="1474"/>
        </w:tabs>
        <w:ind w:left="737"/>
      </w:pPr>
      <w:r w:rsidRPr="005C7EED">
        <w:t xml:space="preserve">Ukončení výkonu činnosti: do </w:t>
      </w:r>
      <w:r w:rsidR="001F287B" w:rsidRPr="001F287B">
        <w:rPr>
          <w:rFonts w:cs="Arial"/>
          <w:b/>
          <w:bCs/>
        </w:rPr>
        <w:t xml:space="preserve">26 </w:t>
      </w:r>
      <w:r w:rsidRPr="001F287B">
        <w:rPr>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w:t>
      </w:r>
      <w:proofErr w:type="gramStart"/>
      <w:r w:rsidRPr="005C7EED">
        <w:t>pověří</w:t>
      </w:r>
      <w:proofErr w:type="gramEnd"/>
      <w:r w:rsidRPr="005C7EED">
        <w:t xml:space="preserve">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w:t>
      </w:r>
      <w:proofErr w:type="gramStart"/>
      <w:r w:rsidRPr="005C7EED">
        <w:t>určí</w:t>
      </w:r>
      <w:proofErr w:type="gramEnd"/>
      <w:r w:rsidRPr="005C7EED">
        <w:t xml:space="preserve">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w:t>
      </w:r>
      <w:proofErr w:type="gramStart"/>
      <w:r w:rsidRPr="000B58CF">
        <w:rPr>
          <w:rFonts w:ascii="Verdana" w:hAnsi="Verdana" w:cs="Verdana"/>
        </w:rPr>
        <w:t>předloží</w:t>
      </w:r>
      <w:proofErr w:type="gramEnd"/>
      <w:r w:rsidRPr="000B58CF">
        <w:rPr>
          <w:rFonts w:ascii="Verdana" w:hAnsi="Verdana" w:cs="Verdana"/>
        </w:rPr>
        <w:t xml:space="preserve">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7777777" w:rsidR="00D92545" w:rsidRDefault="00D92545" w:rsidP="00D92545">
      <w:pPr>
        <w:pStyle w:val="Text1-2"/>
        <w:numPr>
          <w:ilvl w:val="0"/>
          <w:numId w:val="33"/>
        </w:numPr>
        <w:ind w:left="1843"/>
      </w:pPr>
      <w:r w:rsidRPr="00C41F26">
        <w:t>on, ani žádný z jeho poddodavatelů, či jiné osoby, které se budou podílet na plnění Smlouvy,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7F987E45" w14:textId="77777777" w:rsidR="008F4602" w:rsidRPr="00B47369"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77777777"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0309D" w:rsidRPr="0050326A">
        <w:t>Občanského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lastRenderedPageBreak/>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7777777"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w:t>
      </w:r>
      <w:r w:rsidR="00F91101" w:rsidRPr="005C7EED">
        <w:rPr>
          <w:rFonts w:ascii="Verdana" w:hAnsi="Verdana" w:cs="Calibri"/>
        </w:rPr>
        <w:lastRenderedPageBreak/>
        <w:t xml:space="preserve">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00.000 Kč. Ustanovení § 2050 Občanského zákoníku se nepoužij</w:t>
      </w:r>
      <w:r w:rsidR="00BF17AF">
        <w:t>e</w:t>
      </w:r>
      <w:r>
        <w:t>.</w:t>
      </w:r>
    </w:p>
    <w:p w14:paraId="7A088FAC" w14:textId="77777777"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.2 smluvní pokutu ve výši 50.000 Kč. Ustanovení § 2050 Občanského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lastRenderedPageBreak/>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w:t>
      </w:r>
      <w:proofErr w:type="gramStart"/>
      <w:r w:rsidRPr="005C7EED">
        <w:rPr>
          <w:rFonts w:ascii="Verdana" w:hAnsi="Verdana"/>
          <w:sz w:val="18"/>
          <w:szCs w:val="18"/>
        </w:rPr>
        <w:t>označí</w:t>
      </w:r>
      <w:proofErr w:type="gramEnd"/>
      <w:r w:rsidRPr="005C7EED">
        <w:rPr>
          <w:rFonts w:ascii="Verdana" w:hAnsi="Verdana"/>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w:t>
      </w:r>
      <w:r w:rsidRPr="005C7EED">
        <w:rPr>
          <w:rFonts w:ascii="Verdana" w:hAnsi="Verdana"/>
          <w:sz w:val="18"/>
          <w:szCs w:val="18"/>
        </w:rPr>
        <w:lastRenderedPageBreak/>
        <w:t xml:space="preserve">uveřejněna způsobem odporujícím ZRS, a to bez ohledu na to, která ze stran smlouvu v registru smluv uveřejnila. S částmi smlouvy, které druhá smluvní strana </w:t>
      </w:r>
      <w:proofErr w:type="gramStart"/>
      <w:r w:rsidRPr="005C7EED">
        <w:rPr>
          <w:rFonts w:ascii="Verdana" w:hAnsi="Verdana"/>
          <w:sz w:val="18"/>
          <w:szCs w:val="18"/>
        </w:rPr>
        <w:t>neoznačí</w:t>
      </w:r>
      <w:proofErr w:type="gramEnd"/>
      <w:r w:rsidRPr="005C7EED">
        <w:rPr>
          <w:rFonts w:ascii="Verdana" w:hAnsi="Verdana"/>
          <w:sz w:val="18"/>
          <w:szCs w:val="18"/>
        </w:rPr>
        <w:t xml:space="preserve">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lastRenderedPageBreak/>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 xml:space="preserve">Přílohy, které </w:t>
      </w:r>
      <w:proofErr w:type="gramStart"/>
      <w:r w:rsidRPr="005B73AF">
        <w:t>tvoří</w:t>
      </w:r>
      <w:proofErr w:type="gramEnd"/>
      <w:r w:rsidRPr="005B73AF">
        <w:t xml:space="preserve">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w:t>
      </w:r>
      <w:proofErr w:type="gramStart"/>
      <w:r w:rsidRPr="00342DC7">
        <w:rPr>
          <w:highlight w:val="yellow"/>
        </w:rPr>
        <w:t>VLOŽÍ</w:t>
      </w:r>
      <w:proofErr w:type="gramEnd"/>
      <w:r w:rsidRPr="00342DC7">
        <w:rPr>
          <w:highlight w:val="yellow"/>
        </w:rPr>
        <w:t xml:space="preserve">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w:t>
      </w:r>
      <w:proofErr w:type="gramStart"/>
      <w:r w:rsidR="00342DC7" w:rsidRPr="00342DC7">
        <w:rPr>
          <w:highlight w:val="yellow"/>
        </w:rPr>
        <w:t>VLOŽÍ</w:t>
      </w:r>
      <w:proofErr w:type="gramEnd"/>
      <w:r w:rsidR="00342DC7" w:rsidRPr="00342DC7">
        <w:rPr>
          <w:highlight w:val="yellow"/>
        </w:rPr>
        <w:t xml:space="preserve">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6C64064B"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287B">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287B"/>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9636B"/>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5AAA"/>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3C3E"/>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17</Pages>
  <Words>6835</Words>
  <Characters>40329</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7</cp:revision>
  <cp:lastPrinted>2019-03-12T14:16:00Z</cp:lastPrinted>
  <dcterms:created xsi:type="dcterms:W3CDTF">2023-11-06T16:02:00Z</dcterms:created>
  <dcterms:modified xsi:type="dcterms:W3CDTF">2024-02-01T11:47:00Z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