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1753F6AB" w:rsidR="00F862D6" w:rsidRPr="003E6B9A" w:rsidRDefault="00CC3B07" w:rsidP="0037111D">
            <w:r w:rsidRPr="00CC3B07">
              <w:rPr>
                <w:rFonts w:ascii="Helvetica" w:hAnsi="Helvetica"/>
              </w:rPr>
              <w:t>538/2024-SŽ-SSV-Ú3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Pr="001C3230" w:rsidRDefault="00F862D6" w:rsidP="0077673A">
            <w:r w:rsidRPr="001C3230">
              <w:t>Listů/příloh</w:t>
            </w:r>
          </w:p>
        </w:tc>
        <w:tc>
          <w:tcPr>
            <w:tcW w:w="2552" w:type="dxa"/>
          </w:tcPr>
          <w:p w14:paraId="333CD487" w14:textId="6D040E63" w:rsidR="00F862D6" w:rsidRPr="001C3230" w:rsidRDefault="001C3230" w:rsidP="00CC1E2B">
            <w:r w:rsidRPr="001C3230">
              <w:t>2</w:t>
            </w:r>
            <w:r w:rsidR="003E6B9A" w:rsidRPr="001C3230">
              <w:t>/0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6BEE7CFC" w:rsidR="00F862D6" w:rsidRPr="003E6B9A" w:rsidRDefault="00CC3B07" w:rsidP="00FE3455">
            <w:r>
              <w:t>Ing. Kamila Přerovská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4A6DFF20" w:rsidR="009A7568" w:rsidRPr="003E6B9A" w:rsidRDefault="00CC3B07" w:rsidP="009A7568">
            <w:r>
              <w:t>+420 702 164 086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4FA640A2" w:rsidR="009A7568" w:rsidRPr="003E6B9A" w:rsidRDefault="00CF3CD7" w:rsidP="006104F6">
            <w:hyperlink r:id="rId11" w:history="1">
              <w:r w:rsidR="00CC3B07" w:rsidRPr="00615689">
                <w:rPr>
                  <w:rStyle w:val="Hypertextovodkaz"/>
                </w:rPr>
                <w:t>Prerovska@spravazeleznic.cz</w:t>
              </w:r>
            </w:hyperlink>
            <w:r w:rsidR="00CC3B07">
              <w:t xml:space="preserve"> 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616D3968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CF3CD7">
              <w:rPr>
                <w:noProof/>
              </w:rPr>
              <w:t>16. ledna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7CA43448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CC3B07">
        <w:rPr>
          <w:rFonts w:eastAsia="Times New Roman" w:cs="Times New Roman"/>
          <w:lang w:eastAsia="cs-CZ"/>
        </w:rPr>
        <w:t>2</w:t>
      </w:r>
    </w:p>
    <w:p w14:paraId="25C6ADAC" w14:textId="4C74635D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  <w:t>„</w:t>
      </w:r>
      <w:r w:rsidR="004900C4">
        <w:rPr>
          <w:rFonts w:eastAsia="Calibri" w:cs="Times New Roman"/>
          <w:b/>
          <w:bCs/>
          <w:lang w:eastAsia="cs-CZ"/>
        </w:rPr>
        <w:t>Rekonstrukce výpravní budovy v </w:t>
      </w:r>
      <w:proofErr w:type="spellStart"/>
      <w:r w:rsidR="004900C4">
        <w:rPr>
          <w:rFonts w:eastAsia="Calibri" w:cs="Times New Roman"/>
          <w:b/>
          <w:bCs/>
          <w:lang w:eastAsia="cs-CZ"/>
        </w:rPr>
        <w:t>žst</w:t>
      </w:r>
      <w:proofErr w:type="spellEnd"/>
      <w:r w:rsidR="004900C4">
        <w:rPr>
          <w:rFonts w:eastAsia="Calibri" w:cs="Times New Roman"/>
          <w:b/>
          <w:bCs/>
          <w:lang w:eastAsia="cs-CZ"/>
        </w:rPr>
        <w:t>. Jaroměř</w:t>
      </w:r>
      <w:r w:rsidR="00335122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724FE09E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68FBD7" w14:textId="0B01555A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CC3B07">
        <w:rPr>
          <w:rFonts w:eastAsia="Calibri" w:cs="Times New Roman"/>
          <w:b/>
          <w:lang w:eastAsia="cs-CZ"/>
        </w:rPr>
        <w:t>3</w:t>
      </w:r>
      <w:r w:rsidRPr="00BD5319">
        <w:rPr>
          <w:rFonts w:eastAsia="Calibri" w:cs="Times New Roman"/>
          <w:b/>
          <w:lang w:eastAsia="cs-CZ"/>
        </w:rPr>
        <w:t>:</w:t>
      </w:r>
    </w:p>
    <w:p w14:paraId="0C0EF9B4" w14:textId="46D5CBEB" w:rsidR="00CC3B07" w:rsidRPr="008B63BE" w:rsidRDefault="008B63BE" w:rsidP="008B63B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B63BE">
        <w:rPr>
          <w:rFonts w:eastAsia="Calibri" w:cs="Times New Roman"/>
          <w:bCs/>
          <w:lang w:eastAsia="cs-CZ"/>
        </w:rPr>
        <w:t>Prosíme o bližší specifikaci buněk, které budou dočasně nahrazovat provoz pokladen, jejich zázemí a funkci nocležen. Nebyl dohledán podrobný výkres. Předpokládáme správně, že buňky budou volně stavěné vedle sebe bez vnitřních průchodů a propojení? Je možno nahradit výdejní okna buňkami se standardními otevíravými okny?</w:t>
      </w:r>
    </w:p>
    <w:p w14:paraId="3F925D6B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D16A484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39DC49C0" w14:textId="30FF4D05" w:rsidR="00BD5319" w:rsidRPr="007B3214" w:rsidRDefault="00263AFF" w:rsidP="006407B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7B3214">
        <w:rPr>
          <w:rFonts w:eastAsia="Times New Roman" w:cs="Times New Roman"/>
          <w:lang w:eastAsia="cs-CZ"/>
        </w:rPr>
        <w:t xml:space="preserve">Buňky </w:t>
      </w:r>
      <w:r w:rsidR="004D1218">
        <w:rPr>
          <w:rFonts w:eastAsia="Times New Roman" w:cs="Times New Roman"/>
          <w:lang w:eastAsia="cs-CZ"/>
        </w:rPr>
        <w:t xml:space="preserve">uvažuje PD </w:t>
      </w:r>
      <w:r w:rsidRPr="007B3214">
        <w:rPr>
          <w:rFonts w:eastAsia="Times New Roman" w:cs="Times New Roman"/>
          <w:lang w:eastAsia="cs-CZ"/>
        </w:rPr>
        <w:t xml:space="preserve">volně stavěné </w:t>
      </w:r>
      <w:r w:rsidR="004D1218" w:rsidRPr="007B3214">
        <w:rPr>
          <w:rFonts w:eastAsia="Times New Roman" w:cs="Times New Roman"/>
          <w:lang w:eastAsia="cs-CZ"/>
        </w:rPr>
        <w:t xml:space="preserve">vedle sebe </w:t>
      </w:r>
      <w:r w:rsidRPr="007B3214">
        <w:rPr>
          <w:rFonts w:eastAsia="Times New Roman" w:cs="Times New Roman"/>
          <w:lang w:eastAsia="cs-CZ"/>
        </w:rPr>
        <w:t>bez vnitřních průchodů a propojení. Výdejní okénka pokladny nelze nahradit otevíravými okny (min. počet výdejních okének 2ks).</w:t>
      </w:r>
      <w:r w:rsidR="004C5723">
        <w:rPr>
          <w:rFonts w:eastAsia="Times New Roman" w:cs="Times New Roman"/>
          <w:lang w:eastAsia="cs-CZ"/>
        </w:rPr>
        <w:t xml:space="preserve"> Možné dispoziční řešení viz obrázky níže.</w:t>
      </w:r>
      <w:r w:rsidR="006407BA">
        <w:rPr>
          <w:rFonts w:eastAsia="Times New Roman" w:cs="Times New Roman"/>
          <w:lang w:eastAsia="cs-CZ"/>
        </w:rPr>
        <w:t xml:space="preserve"> </w:t>
      </w:r>
      <w:r w:rsidR="006407BA" w:rsidRPr="006407BA">
        <w:rPr>
          <w:rFonts w:eastAsia="Times New Roman" w:cs="Times New Roman"/>
          <w:lang w:eastAsia="cs-CZ"/>
        </w:rPr>
        <w:t>Kontejnerová buňka určena pro výdej jízdních dokladů musí splňovat shodné bezpečnostní prvky, jako je tomu u standardní pokladní přepážky (zajištění vstupních dveří a výdejního okénka proti vniknutí)</w:t>
      </w:r>
      <w:r w:rsidR="006407BA">
        <w:rPr>
          <w:rFonts w:eastAsia="Times New Roman" w:cs="Times New Roman"/>
          <w:lang w:eastAsia="cs-CZ"/>
        </w:rPr>
        <w:t xml:space="preserve">. </w:t>
      </w:r>
      <w:r w:rsidR="006407BA" w:rsidRPr="006407BA">
        <w:rPr>
          <w:rFonts w:eastAsia="Times New Roman" w:cs="Times New Roman"/>
          <w:lang w:eastAsia="cs-CZ"/>
        </w:rPr>
        <w:t>Výdejní okénko musí mít výřez pro předání hotovosti a platbu platební kartou</w:t>
      </w:r>
      <w:r w:rsidR="006407BA">
        <w:rPr>
          <w:rFonts w:eastAsia="Times New Roman" w:cs="Times New Roman"/>
          <w:lang w:eastAsia="cs-CZ"/>
        </w:rPr>
        <w:t xml:space="preserve">. </w:t>
      </w:r>
      <w:r w:rsidR="006407BA" w:rsidRPr="006407BA">
        <w:rPr>
          <w:rFonts w:eastAsia="Times New Roman" w:cs="Times New Roman"/>
          <w:lang w:eastAsia="cs-CZ"/>
        </w:rPr>
        <w:t>Každá kontejnerová buňka bude mít přístup k vodě. V každé kontejnerové buňce musí být dodržena teplotní pohoda.</w:t>
      </w:r>
      <w:r w:rsidR="006407BA">
        <w:rPr>
          <w:rFonts w:eastAsia="Times New Roman" w:cs="Times New Roman"/>
          <w:lang w:eastAsia="cs-CZ"/>
        </w:rPr>
        <w:t xml:space="preserve"> </w:t>
      </w:r>
      <w:r w:rsidR="006407BA" w:rsidRPr="006407BA">
        <w:rPr>
          <w:rFonts w:eastAsia="Times New Roman" w:cs="Times New Roman"/>
          <w:lang w:eastAsia="cs-CZ"/>
        </w:rPr>
        <w:t>V kontejnerové buňce sloužící jako šatna je potřeba vyčlenit prostor pro ohřev stravy. V kontejnerové buňce (pokladna) musí být dostatek el. zásuvek pro výpočetní techniku a další související příslušenství s prodejem jízdních dokladů. V kontejnerové buňce (pokladna) nutnost zajištění přístupu k datové síti.</w:t>
      </w:r>
    </w:p>
    <w:p w14:paraId="3D097299" w14:textId="77777777" w:rsidR="00263AFF" w:rsidRPr="007B3214" w:rsidRDefault="00263AFF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1436E59" w14:textId="76A02D87" w:rsidR="00263AFF" w:rsidRPr="007B3214" w:rsidRDefault="00263AFF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7B3214">
        <w:rPr>
          <w:rFonts w:eastAsia="Times New Roman" w:cs="Times New Roman"/>
          <w:lang w:eastAsia="cs-CZ"/>
        </w:rPr>
        <w:t>Viz text B.8.1 TZ-ZOV:</w:t>
      </w:r>
    </w:p>
    <w:p w14:paraId="19AE9CC0" w14:textId="40E038D6" w:rsidR="00263AFF" w:rsidRPr="007B3214" w:rsidRDefault="00263AFF" w:rsidP="00BD5319">
      <w:pPr>
        <w:spacing w:after="0" w:line="240" w:lineRule="auto"/>
        <w:jc w:val="both"/>
        <w:rPr>
          <w:rFonts w:eastAsia="Times New Roman" w:cs="Times New Roman"/>
          <w:i/>
          <w:iCs/>
          <w:lang w:eastAsia="cs-CZ"/>
        </w:rPr>
      </w:pPr>
      <w:r w:rsidRPr="007B3214">
        <w:rPr>
          <w:rFonts w:eastAsia="Times New Roman" w:cs="Times New Roman"/>
          <w:i/>
          <w:iCs/>
          <w:lang w:eastAsia="cs-CZ"/>
        </w:rPr>
        <w:t>1ks kontejner pokladny s 2x výdejními okénky, rozměr: 6,06x2,44 m</w:t>
      </w:r>
    </w:p>
    <w:p w14:paraId="448782BB" w14:textId="77777777" w:rsidR="00263AFF" w:rsidRPr="007B3214" w:rsidRDefault="00263AFF" w:rsidP="00263AFF">
      <w:pPr>
        <w:spacing w:after="0" w:line="240" w:lineRule="auto"/>
        <w:jc w:val="both"/>
        <w:rPr>
          <w:rFonts w:eastAsia="Times New Roman" w:cs="Times New Roman"/>
          <w:i/>
          <w:iCs/>
          <w:lang w:eastAsia="cs-CZ"/>
        </w:rPr>
      </w:pPr>
      <w:r w:rsidRPr="007B3214">
        <w:rPr>
          <w:rFonts w:eastAsia="Times New Roman" w:cs="Times New Roman"/>
          <w:i/>
          <w:iCs/>
          <w:lang w:eastAsia="cs-CZ"/>
        </w:rPr>
        <w:t>3ks kontejner s kuchyňkou a WC, rozměr: 7,56x2,44 m</w:t>
      </w:r>
    </w:p>
    <w:p w14:paraId="1DAF25B0" w14:textId="77777777" w:rsidR="00263AFF" w:rsidRPr="007B3214" w:rsidRDefault="00263AFF" w:rsidP="00263AFF">
      <w:pPr>
        <w:spacing w:after="0" w:line="240" w:lineRule="auto"/>
        <w:jc w:val="both"/>
        <w:rPr>
          <w:rFonts w:eastAsia="Times New Roman" w:cs="Times New Roman"/>
          <w:i/>
          <w:iCs/>
          <w:lang w:eastAsia="cs-CZ"/>
        </w:rPr>
      </w:pPr>
      <w:r w:rsidRPr="007B3214">
        <w:rPr>
          <w:rFonts w:eastAsia="Times New Roman" w:cs="Times New Roman"/>
          <w:i/>
          <w:iCs/>
          <w:lang w:eastAsia="cs-CZ"/>
        </w:rPr>
        <w:t>3ks mobilní WC</w:t>
      </w:r>
    </w:p>
    <w:p w14:paraId="516CAB33" w14:textId="63459E09" w:rsidR="00263AFF" w:rsidRPr="007B3214" w:rsidRDefault="00263AFF" w:rsidP="00263AFF">
      <w:pPr>
        <w:spacing w:after="0" w:line="240" w:lineRule="auto"/>
        <w:jc w:val="both"/>
        <w:rPr>
          <w:rFonts w:eastAsia="Times New Roman" w:cs="Times New Roman"/>
          <w:i/>
          <w:iCs/>
          <w:lang w:eastAsia="cs-CZ"/>
        </w:rPr>
      </w:pPr>
      <w:r w:rsidRPr="007B3214">
        <w:rPr>
          <w:rFonts w:eastAsia="Times New Roman" w:cs="Times New Roman"/>
          <w:i/>
          <w:iCs/>
          <w:lang w:eastAsia="cs-CZ"/>
        </w:rPr>
        <w:t>1ks mobilní WC pro imobilní</w:t>
      </w:r>
    </w:p>
    <w:p w14:paraId="377A8D98" w14:textId="32DDA1B1" w:rsidR="00263AFF" w:rsidRPr="007B3214" w:rsidRDefault="00263AFF" w:rsidP="00BD5319">
      <w:pPr>
        <w:spacing w:after="0" w:line="240" w:lineRule="auto"/>
        <w:jc w:val="both"/>
        <w:rPr>
          <w:rFonts w:eastAsia="Times New Roman" w:cs="Times New Roman"/>
          <w:i/>
          <w:iCs/>
          <w:lang w:eastAsia="cs-CZ"/>
        </w:rPr>
      </w:pPr>
      <w:r w:rsidRPr="007B3214">
        <w:rPr>
          <w:rFonts w:eastAsia="Times New Roman" w:cs="Times New Roman"/>
          <w:i/>
          <w:iCs/>
          <w:lang w:eastAsia="cs-CZ"/>
        </w:rPr>
        <w:t>Zabezpečení kontejneru pokladen – uzamykatelné dveře, bezpečnostní okenní výplně (např. opatřeny bezpečnostní fólií</w:t>
      </w:r>
      <w:r w:rsidR="007B3214" w:rsidRPr="007B3214">
        <w:rPr>
          <w:rFonts w:eastAsia="Times New Roman" w:cs="Times New Roman"/>
          <w:i/>
          <w:iCs/>
          <w:lang w:eastAsia="cs-CZ"/>
        </w:rPr>
        <w:t xml:space="preserve"> případně mříží</w:t>
      </w:r>
      <w:r w:rsidRPr="007B3214">
        <w:rPr>
          <w:rFonts w:eastAsia="Times New Roman" w:cs="Times New Roman"/>
          <w:i/>
          <w:iCs/>
          <w:lang w:eastAsia="cs-CZ"/>
        </w:rPr>
        <w:t>), pohledové zastínění pomocí rolet. Pokladna bude vybavena trezorem (trezor není součástí dodávky zhotovitele) jenž bude zhotovitelem připevněn v rámu k podložce (montáž rámu s podložkou a na měkké separační vrstvě např. geotextílii, aby nedošlo k poškození podlahy – bude součástí dodávky zhotovitele) tak aby bylo zabráněno možnému odcizení.</w:t>
      </w:r>
    </w:p>
    <w:p w14:paraId="035C8773" w14:textId="4EE7C261" w:rsidR="00263AFF" w:rsidRPr="007B3214" w:rsidRDefault="00263AFF" w:rsidP="00BD5319">
      <w:pPr>
        <w:spacing w:after="0" w:line="240" w:lineRule="auto"/>
        <w:jc w:val="both"/>
        <w:rPr>
          <w:rFonts w:eastAsia="Times New Roman" w:cs="Times New Roman"/>
          <w:i/>
          <w:iCs/>
          <w:lang w:eastAsia="cs-CZ"/>
        </w:rPr>
      </w:pPr>
      <w:r w:rsidRPr="007B3214">
        <w:rPr>
          <w:rFonts w:eastAsia="Times New Roman" w:cs="Times New Roman"/>
          <w:i/>
          <w:iCs/>
          <w:lang w:eastAsia="cs-CZ"/>
        </w:rPr>
        <w:t>Vzhledem k rekonstrukci vnitřních prostorů bude mimo provoz dopravní kanceláře a technologických místností přerušen. Tedy pro zajištění provozu pokladen a jejich zázemí, funkce nocležen (zázemí pro vlakovou četu) a umožnění využívat cestující zázemí WC je stanoven požadavek na zajištění po potřebnou dobu realizace kontejnery. Součástí dodávky zhotovitele bude pronájem, osazení/odklizení provizorních kontejnerů i WC (včetně provozu, tj. 1x týdně vyčerpání splaškových vod u WC pro cestující navíc doplnění toaletních potřeb a vyčištění). Připojení kontejnerů na vodu ¾ coulu a odpad 100 mm bude provedeno samostatně (splaškové vody provizorním kanalizačním potrubím do venkovní kanalizace v místě kontejnerů dl. 10 m a vodovodní řad provizorním vodovodním potrubím z objektu dl. 25 m).</w:t>
      </w:r>
    </w:p>
    <w:p w14:paraId="5F9AB960" w14:textId="77777777" w:rsidR="00AB05EB" w:rsidRDefault="003D7390" w:rsidP="003D739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432043">
        <w:rPr>
          <w:rFonts w:eastAsia="Times New Roman" w:cs="Times New Roman"/>
          <w:lang w:eastAsia="cs-CZ"/>
        </w:rPr>
        <w:lastRenderedPageBreak/>
        <w:t xml:space="preserve">Buňka-zaizolována např. polyuretan pěnou, </w:t>
      </w:r>
      <w:r w:rsidR="00263AFF" w:rsidRPr="00432043">
        <w:rPr>
          <w:rFonts w:eastAsia="Times New Roman" w:cs="Times New Roman"/>
          <w:lang w:eastAsia="cs-CZ"/>
        </w:rPr>
        <w:t>el. přípojka: 380 V/32 A</w:t>
      </w:r>
      <w:r w:rsidRPr="00432043">
        <w:rPr>
          <w:rFonts w:eastAsia="Times New Roman" w:cs="Times New Roman"/>
          <w:lang w:eastAsia="cs-CZ"/>
        </w:rPr>
        <w:t xml:space="preserve"> (</w:t>
      </w:r>
      <w:r w:rsidR="00432043">
        <w:rPr>
          <w:rFonts w:eastAsia="Times New Roman" w:cs="Times New Roman"/>
          <w:lang w:eastAsia="cs-CZ"/>
        </w:rPr>
        <w:t xml:space="preserve">buňky </w:t>
      </w:r>
      <w:r w:rsidRPr="00432043">
        <w:rPr>
          <w:rFonts w:eastAsia="Times New Roman" w:cs="Times New Roman"/>
          <w:lang w:eastAsia="cs-CZ"/>
        </w:rPr>
        <w:t>napojen</w:t>
      </w:r>
      <w:r w:rsidR="00432043">
        <w:rPr>
          <w:rFonts w:eastAsia="Times New Roman" w:cs="Times New Roman"/>
          <w:lang w:eastAsia="cs-CZ"/>
        </w:rPr>
        <w:t>y</w:t>
      </w:r>
      <w:r w:rsidRPr="00432043">
        <w:rPr>
          <w:rFonts w:eastAsia="Times New Roman" w:cs="Times New Roman"/>
          <w:lang w:eastAsia="cs-CZ"/>
        </w:rPr>
        <w:t xml:space="preserve"> na silnoproud</w:t>
      </w:r>
      <w:r w:rsidR="000F692C">
        <w:rPr>
          <w:rFonts w:eastAsia="Times New Roman" w:cs="Times New Roman"/>
          <w:lang w:eastAsia="cs-CZ"/>
        </w:rPr>
        <w:t>,</w:t>
      </w:r>
      <w:r w:rsidR="00432043">
        <w:rPr>
          <w:rFonts w:eastAsia="Times New Roman" w:cs="Times New Roman"/>
          <w:lang w:eastAsia="cs-CZ"/>
        </w:rPr>
        <w:t xml:space="preserve"> dále pokladny na</w:t>
      </w:r>
      <w:r w:rsidRPr="00432043">
        <w:rPr>
          <w:rFonts w:eastAsia="Times New Roman" w:cs="Times New Roman"/>
          <w:lang w:eastAsia="cs-CZ"/>
        </w:rPr>
        <w:t xml:space="preserve"> slaboproud</w:t>
      </w:r>
      <w:r w:rsidR="00432043">
        <w:rPr>
          <w:rFonts w:eastAsia="Times New Roman" w:cs="Times New Roman"/>
          <w:lang w:eastAsia="cs-CZ"/>
        </w:rPr>
        <w:t>)</w:t>
      </w:r>
    </w:p>
    <w:p w14:paraId="72679B0D" w14:textId="778445EE" w:rsidR="00263AFF" w:rsidRPr="00432043" w:rsidRDefault="00AB05EB" w:rsidP="003D739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F3CD7">
        <w:rPr>
          <w:rFonts w:eastAsia="Times New Roman" w:cs="Times New Roman"/>
          <w:lang w:eastAsia="cs-CZ"/>
        </w:rPr>
        <w:t xml:space="preserve">Doporučené vybavení: </w:t>
      </w:r>
      <w:r w:rsidR="003D7390" w:rsidRPr="00CF3CD7">
        <w:rPr>
          <w:rFonts w:eastAsia="Times New Roman" w:cs="Times New Roman"/>
          <w:lang w:eastAsia="cs-CZ"/>
        </w:rPr>
        <w:t>2</w:t>
      </w:r>
      <w:r w:rsidR="00263AFF" w:rsidRPr="00CF3CD7">
        <w:rPr>
          <w:rFonts w:eastAsia="Times New Roman" w:cs="Times New Roman"/>
          <w:lang w:eastAsia="cs-CZ"/>
        </w:rPr>
        <w:t xml:space="preserve"> x</w:t>
      </w:r>
      <w:r w:rsidR="00263AFF" w:rsidRPr="00432043">
        <w:rPr>
          <w:rFonts w:eastAsia="Times New Roman" w:cs="Times New Roman"/>
          <w:lang w:eastAsia="cs-CZ"/>
        </w:rPr>
        <w:t xml:space="preserve"> elektrické topidlo; </w:t>
      </w:r>
      <w:proofErr w:type="spellStart"/>
      <w:r w:rsidR="007B3214" w:rsidRPr="00432043">
        <w:rPr>
          <w:rFonts w:eastAsia="Times New Roman" w:cs="Times New Roman"/>
          <w:lang w:eastAsia="cs-CZ"/>
        </w:rPr>
        <w:t>siln</w:t>
      </w:r>
      <w:proofErr w:type="spellEnd"/>
      <w:r w:rsidR="007B3214" w:rsidRPr="00432043">
        <w:rPr>
          <w:rFonts w:eastAsia="Times New Roman" w:cs="Times New Roman"/>
          <w:lang w:eastAsia="cs-CZ"/>
        </w:rPr>
        <w:t>.</w:t>
      </w:r>
      <w:r w:rsidR="000F692C">
        <w:rPr>
          <w:rFonts w:eastAsia="Times New Roman" w:cs="Times New Roman"/>
          <w:lang w:eastAsia="cs-CZ"/>
        </w:rPr>
        <w:t xml:space="preserve"> </w:t>
      </w:r>
      <w:r w:rsidR="007B3214" w:rsidRPr="00432043">
        <w:rPr>
          <w:rFonts w:eastAsia="Times New Roman" w:cs="Times New Roman"/>
          <w:lang w:eastAsia="cs-CZ"/>
        </w:rPr>
        <w:t>a slabo. zásuvky</w:t>
      </w:r>
      <w:r w:rsidR="003D7390" w:rsidRPr="00432043">
        <w:rPr>
          <w:rFonts w:eastAsia="Times New Roman" w:cs="Times New Roman"/>
          <w:lang w:eastAsia="cs-CZ"/>
        </w:rPr>
        <w:t>, obytné části buněk navíc včetně kuchyňské linky</w:t>
      </w:r>
      <w:r w:rsidR="000F692C">
        <w:rPr>
          <w:rFonts w:eastAsia="Times New Roman" w:cs="Times New Roman"/>
          <w:lang w:eastAsia="cs-CZ"/>
        </w:rPr>
        <w:t xml:space="preserve">, </w:t>
      </w:r>
      <w:r w:rsidR="003D7390" w:rsidRPr="00432043">
        <w:rPr>
          <w:rFonts w:eastAsia="Times New Roman" w:cs="Times New Roman"/>
          <w:lang w:eastAsia="cs-CZ"/>
        </w:rPr>
        <w:t xml:space="preserve">koupelnou a WC (1 x sprchová kabina; 1 x průtokový ohřívač vody;1 x umývadlo; 1 x toaleta; 1 x zrcadlo; 1 x </w:t>
      </w:r>
      <w:proofErr w:type="gramStart"/>
      <w:r w:rsidR="003D7390" w:rsidRPr="00432043">
        <w:rPr>
          <w:rFonts w:eastAsia="Times New Roman" w:cs="Times New Roman"/>
          <w:lang w:eastAsia="cs-CZ"/>
        </w:rPr>
        <w:t>2</w:t>
      </w:r>
      <w:r w:rsidR="007B3214" w:rsidRPr="00432043">
        <w:rPr>
          <w:rFonts w:eastAsia="Times New Roman" w:cs="Times New Roman"/>
          <w:lang w:eastAsia="cs-CZ"/>
        </w:rPr>
        <w:t>-</w:t>
      </w:r>
      <w:r w:rsidR="003D7390" w:rsidRPr="00432043">
        <w:rPr>
          <w:rFonts w:eastAsia="Times New Roman" w:cs="Times New Roman"/>
          <w:lang w:eastAsia="cs-CZ"/>
        </w:rPr>
        <w:t>plotýnkový</w:t>
      </w:r>
      <w:proofErr w:type="gramEnd"/>
      <w:r w:rsidR="003D7390" w:rsidRPr="00432043">
        <w:rPr>
          <w:rFonts w:eastAsia="Times New Roman" w:cs="Times New Roman"/>
          <w:lang w:eastAsia="cs-CZ"/>
        </w:rPr>
        <w:t xml:space="preserve"> vařič; 1 x dřez; 1 x lednice)</w:t>
      </w:r>
      <w:r w:rsidR="007B3214" w:rsidRPr="00432043">
        <w:rPr>
          <w:rFonts w:eastAsia="Times New Roman" w:cs="Times New Roman"/>
          <w:lang w:eastAsia="cs-CZ"/>
        </w:rPr>
        <w:t>.</w:t>
      </w:r>
    </w:p>
    <w:p w14:paraId="1B47CDA4" w14:textId="77777777" w:rsidR="003D7390" w:rsidRPr="007B3214" w:rsidRDefault="003D7390" w:rsidP="00BD5319">
      <w:pPr>
        <w:spacing w:after="0" w:line="240" w:lineRule="auto"/>
        <w:jc w:val="both"/>
        <w:rPr>
          <w:rFonts w:eastAsia="Times New Roman" w:cs="Times New Roman"/>
          <w:i/>
          <w:iCs/>
          <w:lang w:eastAsia="cs-CZ"/>
        </w:rPr>
      </w:pPr>
    </w:p>
    <w:p w14:paraId="61DF5F1E" w14:textId="32EC4E4D" w:rsidR="003D7390" w:rsidRPr="007B3214" w:rsidRDefault="003D7390" w:rsidP="00BD5319">
      <w:pPr>
        <w:spacing w:after="0" w:line="240" w:lineRule="auto"/>
        <w:jc w:val="both"/>
        <w:rPr>
          <w:rFonts w:eastAsia="Times New Roman" w:cs="Times New Roman"/>
          <w:i/>
          <w:iCs/>
          <w:lang w:eastAsia="cs-CZ"/>
        </w:rPr>
      </w:pPr>
      <w:r w:rsidRPr="007B3214">
        <w:rPr>
          <w:rFonts w:eastAsia="Times New Roman" w:cs="Times New Roman"/>
          <w:i/>
          <w:iCs/>
          <w:noProof/>
          <w:lang w:eastAsia="cs-CZ"/>
        </w:rPr>
        <w:drawing>
          <wp:inline distT="0" distB="0" distL="0" distR="0" wp14:anchorId="2E84A522" wp14:editId="7E0A7FAA">
            <wp:extent cx="5525770" cy="2085340"/>
            <wp:effectExtent l="0" t="0" r="0" b="0"/>
            <wp:docPr id="1112681064" name="Obrázek 1" descr="Obsah obrázku skica, diagram, kresba, Technický výkres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2681064" name="Obrázek 1" descr="Obsah obrázku skica, diagram, kresba, Technický výkres&#10;&#10;Popis byl vytvořen automaticky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2085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348E61" w14:textId="773DF73A" w:rsidR="007B3214" w:rsidRPr="007B3214" w:rsidRDefault="007B3214" w:rsidP="00BD5319">
      <w:pPr>
        <w:spacing w:after="0" w:line="240" w:lineRule="auto"/>
        <w:jc w:val="both"/>
        <w:rPr>
          <w:rFonts w:eastAsia="Times New Roman" w:cs="Times New Roman"/>
          <w:i/>
          <w:iCs/>
          <w:lang w:eastAsia="cs-CZ"/>
        </w:rPr>
      </w:pPr>
      <w:r w:rsidRPr="007B3214">
        <w:rPr>
          <w:rFonts w:eastAsia="Times New Roman" w:cs="Times New Roman"/>
          <w:i/>
          <w:iCs/>
          <w:lang w:eastAsia="cs-CZ"/>
        </w:rPr>
        <w:t xml:space="preserve">Obrázek č.1 možné řešení zázemí-pobytových buněk  </w:t>
      </w:r>
    </w:p>
    <w:p w14:paraId="66F6C78D" w14:textId="77777777" w:rsidR="007B3214" w:rsidRPr="007B3214" w:rsidRDefault="007B3214" w:rsidP="00BD5319">
      <w:pPr>
        <w:spacing w:after="0" w:line="240" w:lineRule="auto"/>
        <w:jc w:val="both"/>
        <w:rPr>
          <w:rFonts w:eastAsia="Times New Roman" w:cs="Times New Roman"/>
          <w:i/>
          <w:iCs/>
          <w:lang w:eastAsia="cs-CZ"/>
        </w:rPr>
      </w:pPr>
    </w:p>
    <w:p w14:paraId="075E970F" w14:textId="77777777" w:rsidR="007B3214" w:rsidRPr="007B3214" w:rsidRDefault="007B3214" w:rsidP="00BD5319">
      <w:pPr>
        <w:spacing w:after="0" w:line="240" w:lineRule="auto"/>
        <w:jc w:val="both"/>
        <w:rPr>
          <w:rFonts w:eastAsia="Times New Roman" w:cs="Times New Roman"/>
          <w:i/>
          <w:iCs/>
          <w:lang w:eastAsia="cs-CZ"/>
        </w:rPr>
      </w:pPr>
    </w:p>
    <w:p w14:paraId="64717086" w14:textId="478B94A8" w:rsidR="007B3214" w:rsidRPr="007B3214" w:rsidRDefault="007B3214" w:rsidP="00BD5319">
      <w:pPr>
        <w:spacing w:after="0" w:line="240" w:lineRule="auto"/>
        <w:jc w:val="both"/>
        <w:rPr>
          <w:rFonts w:eastAsia="Times New Roman" w:cs="Times New Roman"/>
          <w:i/>
          <w:iCs/>
          <w:lang w:eastAsia="cs-CZ"/>
        </w:rPr>
      </w:pPr>
      <w:r w:rsidRPr="007B3214">
        <w:rPr>
          <w:rFonts w:eastAsia="Times New Roman" w:cs="Times New Roman"/>
          <w:i/>
          <w:iCs/>
          <w:noProof/>
          <w:lang w:eastAsia="cs-CZ"/>
        </w:rPr>
        <w:drawing>
          <wp:inline distT="0" distB="0" distL="0" distR="0" wp14:anchorId="50D2BB36" wp14:editId="361BD3A3">
            <wp:extent cx="5525770" cy="2059940"/>
            <wp:effectExtent l="0" t="0" r="0" b="0"/>
            <wp:docPr id="203757598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757598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2059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C96F7A" w14:textId="1A3655AA" w:rsidR="007B3214" w:rsidRPr="007B3214" w:rsidRDefault="007B3214" w:rsidP="007B3214">
      <w:pPr>
        <w:spacing w:after="0" w:line="240" w:lineRule="auto"/>
        <w:jc w:val="both"/>
        <w:rPr>
          <w:rFonts w:eastAsia="Times New Roman" w:cs="Times New Roman"/>
          <w:i/>
          <w:iCs/>
          <w:lang w:eastAsia="cs-CZ"/>
        </w:rPr>
      </w:pPr>
      <w:r w:rsidRPr="007B3214">
        <w:rPr>
          <w:rFonts w:eastAsia="Times New Roman" w:cs="Times New Roman"/>
          <w:i/>
          <w:iCs/>
          <w:lang w:eastAsia="cs-CZ"/>
        </w:rPr>
        <w:t xml:space="preserve">Obrázek č.2 možné řešení buňky – pokladna  </w:t>
      </w:r>
    </w:p>
    <w:p w14:paraId="732827BD" w14:textId="77777777" w:rsidR="007B3214" w:rsidRDefault="007B3214" w:rsidP="00BD5319">
      <w:pPr>
        <w:spacing w:after="0" w:line="240" w:lineRule="auto"/>
        <w:jc w:val="both"/>
        <w:rPr>
          <w:rFonts w:eastAsia="Times New Roman" w:cs="Times New Roman"/>
          <w:i/>
          <w:iCs/>
          <w:color w:val="FF0000"/>
          <w:lang w:eastAsia="cs-CZ"/>
        </w:rPr>
      </w:pPr>
    </w:p>
    <w:p w14:paraId="4277E700" w14:textId="77777777" w:rsidR="007B3214" w:rsidRPr="00263AFF" w:rsidRDefault="007B3214" w:rsidP="00BD5319">
      <w:pPr>
        <w:spacing w:after="0" w:line="240" w:lineRule="auto"/>
        <w:jc w:val="both"/>
        <w:rPr>
          <w:rFonts w:eastAsia="Times New Roman" w:cs="Times New Roman"/>
          <w:i/>
          <w:iCs/>
          <w:color w:val="FF0000"/>
          <w:lang w:eastAsia="cs-CZ"/>
        </w:rPr>
      </w:pPr>
    </w:p>
    <w:p w14:paraId="79B5B9ED" w14:textId="4DF51739" w:rsidR="00664163" w:rsidRPr="00C87717" w:rsidRDefault="00664163" w:rsidP="001C3230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</w:p>
    <w:p w14:paraId="70B023FD" w14:textId="77777777" w:rsidR="00664163" w:rsidRPr="00C87717" w:rsidRDefault="00664163" w:rsidP="001C3230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2ACDDA1C" w14:textId="77777777" w:rsidR="00664163" w:rsidRPr="00BD5319" w:rsidRDefault="00664163" w:rsidP="001C3230">
      <w:pPr>
        <w:spacing w:after="0" w:line="240" w:lineRule="auto"/>
        <w:rPr>
          <w:rFonts w:eastAsia="Times New Roman" w:cs="Times New Roman"/>
          <w:lang w:eastAsia="cs-CZ"/>
        </w:rPr>
      </w:pPr>
    </w:p>
    <w:p w14:paraId="5A7982E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4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35D7DDE8" w14:textId="5392F321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68D690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1FC1E85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31BA781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C3230">
        <w:rPr>
          <w:rFonts w:eastAsia="Calibri" w:cs="Times New Roman"/>
          <w:lang w:eastAsia="cs-CZ"/>
        </w:rPr>
        <w:t>V Olomouci</w:t>
      </w:r>
      <w:r w:rsidRPr="00BD5319">
        <w:rPr>
          <w:rFonts w:eastAsia="Calibri" w:cs="Times New Roman"/>
          <w:lang w:eastAsia="cs-CZ"/>
        </w:rPr>
        <w:t xml:space="preserve"> </w:t>
      </w:r>
    </w:p>
    <w:p w14:paraId="6F75BA64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B29B42A" w14:textId="417AB118" w:rsidR="00664163" w:rsidRPr="00A77E57" w:rsidRDefault="00664163" w:rsidP="00664163">
      <w:pPr>
        <w:spacing w:after="0" w:line="240" w:lineRule="auto"/>
        <w:rPr>
          <w:rFonts w:eastAsia="Times New Roman" w:cs="Times New Roman"/>
          <w:i/>
          <w:iCs/>
          <w:color w:val="FF0000"/>
          <w:lang w:eastAsia="cs-CZ"/>
        </w:rPr>
      </w:pPr>
    </w:p>
    <w:p w14:paraId="69F1990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bCs/>
          <w:lang w:eastAsia="cs-CZ"/>
        </w:rPr>
        <w:t>Ing. Miroslav Bocák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BD5319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ředitel organizační jednotky</w:t>
      </w:r>
      <w:r w:rsidRPr="00BD5319">
        <w:rPr>
          <w:rFonts w:eastAsia="Times New Roman" w:cs="Times New Roman"/>
          <w:lang w:eastAsia="cs-CZ"/>
        </w:rPr>
        <w:tab/>
      </w:r>
    </w:p>
    <w:p w14:paraId="5DEDC136" w14:textId="77777777" w:rsidR="00664163" w:rsidRPr="00BD5319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Stavební správa východ</w:t>
      </w:r>
    </w:p>
    <w:p w14:paraId="051A2C6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BD5319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BD5319">
        <w:rPr>
          <w:rFonts w:eastAsia="Times New Roman" w:cs="Times New Roman"/>
          <w:lang w:eastAsia="cs-CZ"/>
        </w:rPr>
        <w:t>státní organizace</w:t>
      </w: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FC6389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D65653" w14:textId="77777777" w:rsidR="00C71EBF" w:rsidRDefault="00C71EBF" w:rsidP="00962258">
      <w:pPr>
        <w:spacing w:after="0" w:line="240" w:lineRule="auto"/>
      </w:pPr>
      <w:r>
        <w:separator/>
      </w:r>
    </w:p>
  </w:endnote>
  <w:endnote w:type="continuationSeparator" w:id="0">
    <w:p w14:paraId="60E86B73" w14:textId="77777777" w:rsidR="00C71EBF" w:rsidRDefault="00C71EB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31B444" w14:textId="77777777" w:rsidR="00C71EBF" w:rsidRDefault="00C71EBF" w:rsidP="00962258">
      <w:pPr>
        <w:spacing w:after="0" w:line="240" w:lineRule="auto"/>
      </w:pPr>
      <w:r>
        <w:separator/>
      </w:r>
    </w:p>
  </w:footnote>
  <w:footnote w:type="continuationSeparator" w:id="0">
    <w:p w14:paraId="78E71EB2" w14:textId="77777777" w:rsidR="00C71EBF" w:rsidRDefault="00C71EB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 w16cid:durableId="401025770">
    <w:abstractNumId w:val="2"/>
  </w:num>
  <w:num w:numId="2" w16cid:durableId="506209173">
    <w:abstractNumId w:val="1"/>
  </w:num>
  <w:num w:numId="3" w16cid:durableId="358628641">
    <w:abstractNumId w:val="3"/>
  </w:num>
  <w:num w:numId="4" w16cid:durableId="1834292179">
    <w:abstractNumId w:val="6"/>
  </w:num>
  <w:num w:numId="5" w16cid:durableId="1470241154">
    <w:abstractNumId w:val="0"/>
  </w:num>
  <w:num w:numId="6" w16cid:durableId="848255171">
    <w:abstractNumId w:val="5"/>
  </w:num>
  <w:num w:numId="7" w16cid:durableId="218832763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33432"/>
    <w:rsid w:val="000335CC"/>
    <w:rsid w:val="00072C1E"/>
    <w:rsid w:val="000B3A82"/>
    <w:rsid w:val="000B6C7E"/>
    <w:rsid w:val="000B7907"/>
    <w:rsid w:val="000C0429"/>
    <w:rsid w:val="000C45E8"/>
    <w:rsid w:val="000E3215"/>
    <w:rsid w:val="000F692C"/>
    <w:rsid w:val="00114472"/>
    <w:rsid w:val="00170EC5"/>
    <w:rsid w:val="001747C1"/>
    <w:rsid w:val="0018596A"/>
    <w:rsid w:val="001B69C2"/>
    <w:rsid w:val="001C3230"/>
    <w:rsid w:val="001C4DA0"/>
    <w:rsid w:val="00207DF5"/>
    <w:rsid w:val="00263AFF"/>
    <w:rsid w:val="00267369"/>
    <w:rsid w:val="0026785D"/>
    <w:rsid w:val="00296D39"/>
    <w:rsid w:val="002C31BF"/>
    <w:rsid w:val="002E0CD7"/>
    <w:rsid w:val="002F026B"/>
    <w:rsid w:val="00335122"/>
    <w:rsid w:val="00357BC6"/>
    <w:rsid w:val="0037111D"/>
    <w:rsid w:val="003756B9"/>
    <w:rsid w:val="003956C6"/>
    <w:rsid w:val="003D7390"/>
    <w:rsid w:val="003E6B9A"/>
    <w:rsid w:val="003E75CE"/>
    <w:rsid w:val="0041380F"/>
    <w:rsid w:val="00432043"/>
    <w:rsid w:val="00450F07"/>
    <w:rsid w:val="00453CD3"/>
    <w:rsid w:val="00455BC7"/>
    <w:rsid w:val="00460660"/>
    <w:rsid w:val="00460CCB"/>
    <w:rsid w:val="00477370"/>
    <w:rsid w:val="00486107"/>
    <w:rsid w:val="004900C4"/>
    <w:rsid w:val="00491827"/>
    <w:rsid w:val="004926B0"/>
    <w:rsid w:val="004A0F75"/>
    <w:rsid w:val="004A7C69"/>
    <w:rsid w:val="004C4399"/>
    <w:rsid w:val="004C5723"/>
    <w:rsid w:val="004C69ED"/>
    <w:rsid w:val="004C787C"/>
    <w:rsid w:val="004D1218"/>
    <w:rsid w:val="004F4B9B"/>
    <w:rsid w:val="00501654"/>
    <w:rsid w:val="00511AB9"/>
    <w:rsid w:val="00523EA7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6104F6"/>
    <w:rsid w:val="0061068E"/>
    <w:rsid w:val="006407BA"/>
    <w:rsid w:val="00660AD3"/>
    <w:rsid w:val="00664163"/>
    <w:rsid w:val="006A5570"/>
    <w:rsid w:val="006A689C"/>
    <w:rsid w:val="006B3D79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3214"/>
    <w:rsid w:val="007B570C"/>
    <w:rsid w:val="007E4A6E"/>
    <w:rsid w:val="007F56A7"/>
    <w:rsid w:val="0080221C"/>
    <w:rsid w:val="00807DD0"/>
    <w:rsid w:val="00813F11"/>
    <w:rsid w:val="00891334"/>
    <w:rsid w:val="008A3568"/>
    <w:rsid w:val="008B63BE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0255"/>
    <w:rsid w:val="009B2E97"/>
    <w:rsid w:val="009B3C69"/>
    <w:rsid w:val="009B72CC"/>
    <w:rsid w:val="009C7D9B"/>
    <w:rsid w:val="009E07F4"/>
    <w:rsid w:val="009F392E"/>
    <w:rsid w:val="00A44328"/>
    <w:rsid w:val="00A6177B"/>
    <w:rsid w:val="00A66136"/>
    <w:rsid w:val="00AA4CBB"/>
    <w:rsid w:val="00AA65FA"/>
    <w:rsid w:val="00AA7351"/>
    <w:rsid w:val="00AB05EB"/>
    <w:rsid w:val="00AD056F"/>
    <w:rsid w:val="00AD2773"/>
    <w:rsid w:val="00AD6731"/>
    <w:rsid w:val="00AE1DDE"/>
    <w:rsid w:val="00B14FF0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71EBF"/>
    <w:rsid w:val="00C727E5"/>
    <w:rsid w:val="00C8207D"/>
    <w:rsid w:val="00CB7B5A"/>
    <w:rsid w:val="00CC1E2B"/>
    <w:rsid w:val="00CC3B07"/>
    <w:rsid w:val="00CD1FC4"/>
    <w:rsid w:val="00CE371D"/>
    <w:rsid w:val="00CF3CD7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10710"/>
    <w:rsid w:val="00E824F1"/>
    <w:rsid w:val="00EB104F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character" w:styleId="Nevyeenzmnka">
    <w:name w:val="Unresolved Mention"/>
    <w:basedOn w:val="Standardnpsmoodstavce"/>
    <w:uiPriority w:val="99"/>
    <w:semiHidden/>
    <w:unhideWhenUsed/>
    <w:rsid w:val="00CC3B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akazky.szdc.cz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F8A733A-7FC2-4531-8071-FCC292D4C3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5</TotalTime>
  <Pages>2</Pages>
  <Words>613</Words>
  <Characters>3618</Characters>
  <Application>Microsoft Office Word</Application>
  <DocSecurity>0</DocSecurity>
  <Lines>30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4223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4</cp:revision>
  <cp:lastPrinted>2019-02-22T13:28:00Z</cp:lastPrinted>
  <dcterms:created xsi:type="dcterms:W3CDTF">2024-01-15T14:53:00Z</dcterms:created>
  <dcterms:modified xsi:type="dcterms:W3CDTF">2024-01-16T11:19:00Z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