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0441EC5C" w:rsidR="003E784C" w:rsidRPr="003B5BED" w:rsidRDefault="003E784C" w:rsidP="00F07A3F">
      <w:pPr>
        <w:pStyle w:val="TPTitul2"/>
        <w:tabs>
          <w:tab w:val="left" w:pos="703"/>
          <w:tab w:val="left" w:pos="6631"/>
        </w:tabs>
        <w:jc w:val="both"/>
      </w:pPr>
      <w:bookmarkStart w:id="0" w:name="_GoBack"/>
      <w:bookmarkEnd w:id="0"/>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261BF42" w14:textId="3BFD8374" w:rsidR="00572691" w:rsidRPr="00572691" w:rsidRDefault="003E784C" w:rsidP="00572691">
      <w:pPr>
        <w:pStyle w:val="Obsah1"/>
        <w:rPr>
          <w:rFonts w:ascii="Verdana" w:eastAsiaTheme="minorEastAsia" w:hAnsi="Verdana" w:cstheme="minorBidi"/>
          <w:noProof/>
          <w:kern w:val="2"/>
          <w:sz w:val="18"/>
          <w:szCs w:val="18"/>
          <w:lang w:eastAsia="cs-CZ"/>
          <w14:ligatures w14:val="standardContextual"/>
        </w:rPr>
      </w:pPr>
      <w:r w:rsidRPr="00572691">
        <w:rPr>
          <w:rFonts w:ascii="Verdana" w:hAnsi="Verdana" w:cs="Arial"/>
          <w:sz w:val="18"/>
          <w:szCs w:val="18"/>
        </w:rPr>
        <w:fldChar w:fldCharType="begin"/>
      </w:r>
      <w:r w:rsidRPr="00572691">
        <w:rPr>
          <w:rFonts w:ascii="Verdana" w:hAnsi="Verdana" w:cs="Arial"/>
          <w:sz w:val="18"/>
          <w:szCs w:val="18"/>
        </w:rPr>
        <w:instrText xml:space="preserve"> TOC \o "1-2" \h \z \u </w:instrText>
      </w:r>
      <w:r w:rsidRPr="00572691">
        <w:rPr>
          <w:rFonts w:ascii="Verdana" w:hAnsi="Verdana" w:cs="Arial"/>
          <w:sz w:val="18"/>
          <w:szCs w:val="18"/>
        </w:rPr>
        <w:fldChar w:fldCharType="separate"/>
      </w:r>
      <w:hyperlink w:anchor="_Toc141473668" w:history="1">
        <w:r w:rsidR="00572691" w:rsidRPr="00572691">
          <w:rPr>
            <w:rStyle w:val="Hypertextovodkaz"/>
            <w:rFonts w:ascii="Verdana" w:hAnsi="Verdana"/>
            <w:noProof/>
            <w:sz w:val="18"/>
            <w:szCs w:val="18"/>
          </w:rPr>
          <w:t>1.</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Výklad pojmů</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_Toc141473668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2</w:t>
        </w:r>
        <w:r w:rsidR="00572691" w:rsidRPr="00572691">
          <w:rPr>
            <w:rFonts w:ascii="Verdana" w:hAnsi="Verdana"/>
            <w:noProof/>
            <w:webHidden/>
            <w:sz w:val="18"/>
            <w:szCs w:val="18"/>
          </w:rPr>
          <w:fldChar w:fldCharType="end"/>
        </w:r>
      </w:hyperlink>
    </w:p>
    <w:p w14:paraId="4AF2FAD4" w14:textId="4FECF88C"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69" w:history="1">
        <w:r w:rsidR="00572691" w:rsidRPr="00572691">
          <w:rPr>
            <w:rStyle w:val="Hypertextovodkaz"/>
            <w:rFonts w:ascii="Verdana" w:hAnsi="Verdana"/>
            <w:noProof/>
            <w:sz w:val="18"/>
            <w:szCs w:val="18"/>
          </w:rPr>
          <w:t>2.</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Doba a místo plnění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_Toc141473669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7</w:t>
        </w:r>
        <w:r w:rsidR="00572691" w:rsidRPr="00572691">
          <w:rPr>
            <w:rFonts w:ascii="Verdana" w:hAnsi="Verdana"/>
            <w:noProof/>
            <w:webHidden/>
            <w:sz w:val="18"/>
            <w:szCs w:val="18"/>
          </w:rPr>
          <w:fldChar w:fldCharType="end"/>
        </w:r>
      </w:hyperlink>
    </w:p>
    <w:p w14:paraId="668D652A" w14:textId="55C0136A"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0" w:history="1">
        <w:r w:rsidR="00572691" w:rsidRPr="00572691">
          <w:rPr>
            <w:rStyle w:val="Hypertextovodkaz"/>
            <w:rFonts w:ascii="Verdana" w:hAnsi="Verdana"/>
            <w:noProof/>
            <w:sz w:val="18"/>
            <w:szCs w:val="18"/>
          </w:rPr>
          <w:t>3.</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Práva a povinnosti obou stran</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_Toc141473670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7</w:t>
        </w:r>
        <w:r w:rsidR="00572691" w:rsidRPr="00572691">
          <w:rPr>
            <w:rFonts w:ascii="Verdana" w:hAnsi="Verdana"/>
            <w:noProof/>
            <w:webHidden/>
            <w:sz w:val="18"/>
            <w:szCs w:val="18"/>
          </w:rPr>
          <w:fldChar w:fldCharType="end"/>
        </w:r>
      </w:hyperlink>
    </w:p>
    <w:p w14:paraId="596EE767" w14:textId="6E9ED0B4"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1" w:history="1">
        <w:r w:rsidR="00572691" w:rsidRPr="00572691">
          <w:rPr>
            <w:rStyle w:val="Hypertextovodkaz"/>
            <w:rFonts w:ascii="Verdana" w:hAnsi="Verdana"/>
            <w:noProof/>
            <w:sz w:val="18"/>
            <w:szCs w:val="18"/>
          </w:rPr>
          <w:t>4.</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Povinnosti Dodavatele</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_Toc141473671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8</w:t>
        </w:r>
        <w:r w:rsidR="00572691" w:rsidRPr="00572691">
          <w:rPr>
            <w:rFonts w:ascii="Verdana" w:hAnsi="Verdana"/>
            <w:noProof/>
            <w:webHidden/>
            <w:sz w:val="18"/>
            <w:szCs w:val="18"/>
          </w:rPr>
          <w:fldChar w:fldCharType="end"/>
        </w:r>
      </w:hyperlink>
    </w:p>
    <w:p w14:paraId="0EB050E2" w14:textId="73C215CE"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2" w:history="1">
        <w:r w:rsidR="00572691" w:rsidRPr="00572691">
          <w:rPr>
            <w:rStyle w:val="Hypertextovodkaz"/>
            <w:rFonts w:ascii="Verdana" w:hAnsi="Verdana"/>
            <w:noProof/>
            <w:sz w:val="18"/>
            <w:szCs w:val="18"/>
          </w:rPr>
          <w:t>5.</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Povinnosti objednatele</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_Toc141473672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8</w:t>
        </w:r>
        <w:r w:rsidR="00572691" w:rsidRPr="00572691">
          <w:rPr>
            <w:rFonts w:ascii="Verdana" w:hAnsi="Verdana"/>
            <w:noProof/>
            <w:webHidden/>
            <w:sz w:val="18"/>
            <w:szCs w:val="18"/>
          </w:rPr>
          <w:fldChar w:fldCharType="end"/>
        </w:r>
      </w:hyperlink>
    </w:p>
    <w:p w14:paraId="1D1BA840" w14:textId="031B853C"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3" w:history="1">
        <w:r w:rsidR="00572691" w:rsidRPr="00572691">
          <w:rPr>
            <w:rStyle w:val="Hypertextovodkaz"/>
            <w:rFonts w:ascii="Verdana" w:hAnsi="Verdana"/>
            <w:noProof/>
            <w:sz w:val="18"/>
            <w:szCs w:val="18"/>
          </w:rPr>
          <w:t>6.</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Licenční ujednání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_Toc141473673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9</w:t>
        </w:r>
        <w:r w:rsidR="00572691" w:rsidRPr="00572691">
          <w:rPr>
            <w:rFonts w:ascii="Verdana" w:hAnsi="Verdana"/>
            <w:noProof/>
            <w:webHidden/>
            <w:sz w:val="18"/>
            <w:szCs w:val="18"/>
          </w:rPr>
          <w:fldChar w:fldCharType="end"/>
        </w:r>
      </w:hyperlink>
    </w:p>
    <w:p w14:paraId="491250ED" w14:textId="598A6673"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4" w:history="1">
        <w:r w:rsidR="00572691" w:rsidRPr="00572691">
          <w:rPr>
            <w:rStyle w:val="Hypertextovodkaz"/>
            <w:rFonts w:ascii="Verdana" w:hAnsi="Verdana"/>
            <w:noProof/>
            <w:sz w:val="18"/>
            <w:szCs w:val="18"/>
          </w:rPr>
          <w:t>7.</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Zdrojový kód a dokumentace</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_Toc141473674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11</w:t>
        </w:r>
        <w:r w:rsidR="00572691" w:rsidRPr="00572691">
          <w:rPr>
            <w:rFonts w:ascii="Verdana" w:hAnsi="Verdana"/>
            <w:noProof/>
            <w:webHidden/>
            <w:sz w:val="18"/>
            <w:szCs w:val="18"/>
          </w:rPr>
          <w:fldChar w:fldCharType="end"/>
        </w:r>
      </w:hyperlink>
    </w:p>
    <w:p w14:paraId="5EB77E58" w14:textId="376B7A2C"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5" w:history="1">
        <w:r w:rsidR="00572691" w:rsidRPr="00572691">
          <w:rPr>
            <w:rStyle w:val="Hypertextovodkaz"/>
            <w:rFonts w:ascii="Verdana" w:hAnsi="Verdana"/>
            <w:noProof/>
            <w:sz w:val="18"/>
            <w:szCs w:val="18"/>
          </w:rPr>
          <w:t>8.</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Akceptační řízení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_Toc141473675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12</w:t>
        </w:r>
        <w:r w:rsidR="00572691" w:rsidRPr="00572691">
          <w:rPr>
            <w:rFonts w:ascii="Verdana" w:hAnsi="Verdana"/>
            <w:noProof/>
            <w:webHidden/>
            <w:sz w:val="18"/>
            <w:szCs w:val="18"/>
          </w:rPr>
          <w:fldChar w:fldCharType="end"/>
        </w:r>
      </w:hyperlink>
    </w:p>
    <w:p w14:paraId="4076E58A" w14:textId="565BF8A9"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6" w:history="1">
        <w:r w:rsidR="00572691" w:rsidRPr="00572691">
          <w:rPr>
            <w:rStyle w:val="Hypertextovodkaz"/>
            <w:rFonts w:ascii="Verdana" w:hAnsi="Verdana"/>
            <w:noProof/>
            <w:sz w:val="18"/>
            <w:szCs w:val="18"/>
          </w:rPr>
          <w:t>9.</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Školení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_Toc141473676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14</w:t>
        </w:r>
        <w:r w:rsidR="00572691" w:rsidRPr="00572691">
          <w:rPr>
            <w:rFonts w:ascii="Verdana" w:hAnsi="Verdana"/>
            <w:noProof/>
            <w:webHidden/>
            <w:sz w:val="18"/>
            <w:szCs w:val="18"/>
          </w:rPr>
          <w:fldChar w:fldCharType="end"/>
        </w:r>
      </w:hyperlink>
    </w:p>
    <w:p w14:paraId="2C50A45E" w14:textId="3B7C1C8F"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7" w:history="1">
        <w:r w:rsidR="00572691" w:rsidRPr="00572691">
          <w:rPr>
            <w:rStyle w:val="Hypertextovodkaz"/>
            <w:rFonts w:ascii="Verdana" w:hAnsi="Verdana"/>
            <w:noProof/>
            <w:sz w:val="18"/>
            <w:szCs w:val="18"/>
          </w:rPr>
          <w:t>10.</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HELPdesk</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_Toc141473677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14</w:t>
        </w:r>
        <w:r w:rsidR="00572691" w:rsidRPr="00572691">
          <w:rPr>
            <w:rFonts w:ascii="Verdana" w:hAnsi="Verdana"/>
            <w:noProof/>
            <w:webHidden/>
            <w:sz w:val="18"/>
            <w:szCs w:val="18"/>
          </w:rPr>
          <w:fldChar w:fldCharType="end"/>
        </w:r>
      </w:hyperlink>
    </w:p>
    <w:p w14:paraId="2CBE7DB2" w14:textId="17CFC953"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8" w:history="1">
        <w:r w:rsidR="00572691" w:rsidRPr="00572691">
          <w:rPr>
            <w:rStyle w:val="Hypertextovodkaz"/>
            <w:rFonts w:ascii="Verdana" w:hAnsi="Verdana"/>
            <w:noProof/>
            <w:sz w:val="18"/>
            <w:szCs w:val="18"/>
          </w:rPr>
          <w:t>11.</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nahlášení incidentu</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_Toc141473678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15</w:t>
        </w:r>
        <w:r w:rsidR="00572691" w:rsidRPr="00572691">
          <w:rPr>
            <w:rFonts w:ascii="Verdana" w:hAnsi="Verdana"/>
            <w:noProof/>
            <w:webHidden/>
            <w:sz w:val="18"/>
            <w:szCs w:val="18"/>
          </w:rPr>
          <w:fldChar w:fldCharType="end"/>
        </w:r>
      </w:hyperlink>
    </w:p>
    <w:p w14:paraId="22E8DD73" w14:textId="48BA2778"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79" w:history="1">
        <w:r w:rsidR="00572691" w:rsidRPr="00572691">
          <w:rPr>
            <w:rStyle w:val="Hypertextovodkaz"/>
            <w:rFonts w:ascii="Verdana" w:hAnsi="Verdana"/>
            <w:noProof/>
            <w:sz w:val="18"/>
            <w:szCs w:val="18"/>
          </w:rPr>
          <w:t>12.</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SERVISNí modely</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_Toc141473679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15</w:t>
        </w:r>
        <w:r w:rsidR="00572691" w:rsidRPr="00572691">
          <w:rPr>
            <w:rFonts w:ascii="Verdana" w:hAnsi="Verdana"/>
            <w:noProof/>
            <w:webHidden/>
            <w:sz w:val="18"/>
            <w:szCs w:val="18"/>
          </w:rPr>
          <w:fldChar w:fldCharType="end"/>
        </w:r>
      </w:hyperlink>
    </w:p>
    <w:p w14:paraId="5A8438B4" w14:textId="7BA395D7"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0" w:history="1">
        <w:r w:rsidR="00572691" w:rsidRPr="00572691">
          <w:rPr>
            <w:rStyle w:val="Hypertextovodkaz"/>
            <w:rFonts w:ascii="Verdana" w:hAnsi="Verdana"/>
            <w:noProof/>
            <w:sz w:val="18"/>
            <w:szCs w:val="18"/>
          </w:rPr>
          <w:t>13.</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Účast poddodavatelů</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_Toc141473680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17</w:t>
        </w:r>
        <w:r w:rsidR="00572691" w:rsidRPr="00572691">
          <w:rPr>
            <w:rFonts w:ascii="Verdana" w:hAnsi="Verdana"/>
            <w:noProof/>
            <w:webHidden/>
            <w:sz w:val="18"/>
            <w:szCs w:val="18"/>
          </w:rPr>
          <w:fldChar w:fldCharType="end"/>
        </w:r>
      </w:hyperlink>
    </w:p>
    <w:p w14:paraId="1D802683" w14:textId="3C82D3E8"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1" w:history="1">
        <w:r w:rsidR="00572691" w:rsidRPr="00572691">
          <w:rPr>
            <w:rStyle w:val="Hypertextovodkaz"/>
            <w:rFonts w:ascii="Verdana" w:hAnsi="Verdana"/>
            <w:noProof/>
            <w:sz w:val="18"/>
            <w:szCs w:val="18"/>
          </w:rPr>
          <w:t>14.</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Realizační tým</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_Toc141473681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17</w:t>
        </w:r>
        <w:r w:rsidR="00572691" w:rsidRPr="00572691">
          <w:rPr>
            <w:rFonts w:ascii="Verdana" w:hAnsi="Verdana"/>
            <w:noProof/>
            <w:webHidden/>
            <w:sz w:val="18"/>
            <w:szCs w:val="18"/>
          </w:rPr>
          <w:fldChar w:fldCharType="end"/>
        </w:r>
      </w:hyperlink>
    </w:p>
    <w:p w14:paraId="58523040" w14:textId="1AA41941"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2" w:history="1">
        <w:r w:rsidR="00572691" w:rsidRPr="00572691">
          <w:rPr>
            <w:rStyle w:val="Hypertextovodkaz"/>
            <w:rFonts w:ascii="Verdana" w:hAnsi="Verdana"/>
            <w:noProof/>
            <w:sz w:val="18"/>
            <w:szCs w:val="18"/>
          </w:rPr>
          <w:t>15.</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Komunikace stran</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_Toc141473682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17</w:t>
        </w:r>
        <w:r w:rsidR="00572691" w:rsidRPr="00572691">
          <w:rPr>
            <w:rFonts w:ascii="Verdana" w:hAnsi="Verdana"/>
            <w:noProof/>
            <w:webHidden/>
            <w:sz w:val="18"/>
            <w:szCs w:val="18"/>
          </w:rPr>
          <w:fldChar w:fldCharType="end"/>
        </w:r>
      </w:hyperlink>
    </w:p>
    <w:p w14:paraId="6411FE16" w14:textId="349BDB7B"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3" w:history="1">
        <w:r w:rsidR="00572691" w:rsidRPr="00572691">
          <w:rPr>
            <w:rStyle w:val="Hypertextovodkaz"/>
            <w:rFonts w:ascii="Verdana" w:hAnsi="Verdana"/>
            <w:noProof/>
            <w:sz w:val="18"/>
            <w:szCs w:val="18"/>
          </w:rPr>
          <w:t>16.</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Smluvní pokuty</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_Toc141473683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18</w:t>
        </w:r>
        <w:r w:rsidR="00572691" w:rsidRPr="00572691">
          <w:rPr>
            <w:rFonts w:ascii="Verdana" w:hAnsi="Verdana"/>
            <w:noProof/>
            <w:webHidden/>
            <w:sz w:val="18"/>
            <w:szCs w:val="18"/>
          </w:rPr>
          <w:fldChar w:fldCharType="end"/>
        </w:r>
      </w:hyperlink>
    </w:p>
    <w:p w14:paraId="214D6EFB" w14:textId="2FF4AFAF"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4" w:history="1">
        <w:r w:rsidR="00572691" w:rsidRPr="00572691">
          <w:rPr>
            <w:rStyle w:val="Hypertextovodkaz"/>
            <w:rFonts w:ascii="Verdana" w:hAnsi="Verdana"/>
            <w:noProof/>
            <w:sz w:val="18"/>
            <w:szCs w:val="18"/>
          </w:rPr>
          <w:t>17.</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Záruka za jakost a práva z vadného plnění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_Toc141473684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19</w:t>
        </w:r>
        <w:r w:rsidR="00572691" w:rsidRPr="00572691">
          <w:rPr>
            <w:rFonts w:ascii="Verdana" w:hAnsi="Verdana"/>
            <w:noProof/>
            <w:webHidden/>
            <w:sz w:val="18"/>
            <w:szCs w:val="18"/>
          </w:rPr>
          <w:fldChar w:fldCharType="end"/>
        </w:r>
      </w:hyperlink>
    </w:p>
    <w:p w14:paraId="32A7569F" w14:textId="7ACEA215"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5" w:history="1">
        <w:r w:rsidR="00572691" w:rsidRPr="00572691">
          <w:rPr>
            <w:rStyle w:val="Hypertextovodkaz"/>
            <w:rFonts w:ascii="Verdana" w:hAnsi="Verdana"/>
            <w:noProof/>
            <w:sz w:val="18"/>
            <w:szCs w:val="18"/>
          </w:rPr>
          <w:t>18.</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Ukončení smluvního vztahu</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_Toc141473685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21</w:t>
        </w:r>
        <w:r w:rsidR="00572691" w:rsidRPr="00572691">
          <w:rPr>
            <w:rFonts w:ascii="Verdana" w:hAnsi="Verdana"/>
            <w:noProof/>
            <w:webHidden/>
            <w:sz w:val="18"/>
            <w:szCs w:val="18"/>
          </w:rPr>
          <w:fldChar w:fldCharType="end"/>
        </w:r>
      </w:hyperlink>
    </w:p>
    <w:p w14:paraId="58B2D785" w14:textId="1D878111"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6" w:history="1">
        <w:r w:rsidR="00572691" w:rsidRPr="00572691">
          <w:rPr>
            <w:rStyle w:val="Hypertextovodkaz"/>
            <w:rFonts w:ascii="Verdana" w:hAnsi="Verdana"/>
            <w:noProof/>
            <w:sz w:val="18"/>
            <w:szCs w:val="18"/>
          </w:rPr>
          <w:t>19.</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Změny smlouvy a změnové řízení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_Toc141473686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22</w:t>
        </w:r>
        <w:r w:rsidR="00572691" w:rsidRPr="00572691">
          <w:rPr>
            <w:rFonts w:ascii="Verdana" w:hAnsi="Verdana"/>
            <w:noProof/>
            <w:webHidden/>
            <w:sz w:val="18"/>
            <w:szCs w:val="18"/>
          </w:rPr>
          <w:fldChar w:fldCharType="end"/>
        </w:r>
      </w:hyperlink>
    </w:p>
    <w:p w14:paraId="6002E746" w14:textId="7BE22AB8"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7" w:history="1">
        <w:r w:rsidR="00572691" w:rsidRPr="00572691">
          <w:rPr>
            <w:rStyle w:val="Hypertextovodkaz"/>
            <w:rFonts w:ascii="Verdana" w:hAnsi="Verdana"/>
            <w:noProof/>
            <w:sz w:val="18"/>
            <w:szCs w:val="18"/>
          </w:rPr>
          <w:t>20.</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Kybernetická bezpečnost</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_Toc141473687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22</w:t>
        </w:r>
        <w:r w:rsidR="00572691" w:rsidRPr="00572691">
          <w:rPr>
            <w:rFonts w:ascii="Verdana" w:hAnsi="Verdana"/>
            <w:noProof/>
            <w:webHidden/>
            <w:sz w:val="18"/>
            <w:szCs w:val="18"/>
          </w:rPr>
          <w:fldChar w:fldCharType="end"/>
        </w:r>
      </w:hyperlink>
    </w:p>
    <w:p w14:paraId="6A6F6017" w14:textId="1079E496"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8" w:history="1">
        <w:r w:rsidR="00572691" w:rsidRPr="00572691">
          <w:rPr>
            <w:rStyle w:val="Hypertextovodkaz"/>
            <w:rFonts w:ascii="Verdana" w:hAnsi="Verdana"/>
            <w:noProof/>
            <w:sz w:val="18"/>
            <w:szCs w:val="18"/>
          </w:rPr>
          <w:t>21.</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Ochrana osobních údajů</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_Toc141473688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26</w:t>
        </w:r>
        <w:r w:rsidR="00572691" w:rsidRPr="00572691">
          <w:rPr>
            <w:rFonts w:ascii="Verdana" w:hAnsi="Verdana"/>
            <w:noProof/>
            <w:webHidden/>
            <w:sz w:val="18"/>
            <w:szCs w:val="18"/>
          </w:rPr>
          <w:fldChar w:fldCharType="end"/>
        </w:r>
      </w:hyperlink>
    </w:p>
    <w:p w14:paraId="4DC62F44" w14:textId="02F8A750" w:rsidR="00572691" w:rsidRPr="00572691" w:rsidRDefault="00EF2296" w:rsidP="00572691">
      <w:pPr>
        <w:pStyle w:val="Obsah1"/>
        <w:rPr>
          <w:rFonts w:ascii="Verdana" w:eastAsiaTheme="minorEastAsia" w:hAnsi="Verdana" w:cstheme="minorBidi"/>
          <w:noProof/>
          <w:kern w:val="2"/>
          <w:sz w:val="18"/>
          <w:szCs w:val="18"/>
          <w:lang w:eastAsia="cs-CZ"/>
          <w14:ligatures w14:val="standardContextual"/>
        </w:rPr>
      </w:pPr>
      <w:hyperlink w:anchor="_Toc141473689" w:history="1">
        <w:r w:rsidR="00572691" w:rsidRPr="00572691">
          <w:rPr>
            <w:rStyle w:val="Hypertextovodkaz"/>
            <w:rFonts w:ascii="Verdana" w:hAnsi="Verdana"/>
            <w:noProof/>
            <w:sz w:val="18"/>
            <w:szCs w:val="18"/>
          </w:rPr>
          <w:t>22.</w:t>
        </w:r>
        <w:r w:rsidR="00572691" w:rsidRPr="00572691">
          <w:rPr>
            <w:rFonts w:ascii="Verdana" w:eastAsiaTheme="minorEastAsia" w:hAnsi="Verdana" w:cstheme="minorBidi"/>
            <w:noProof/>
            <w:kern w:val="2"/>
            <w:sz w:val="18"/>
            <w:szCs w:val="18"/>
            <w:lang w:eastAsia="cs-CZ"/>
            <w14:ligatures w14:val="standardContextual"/>
          </w:rPr>
          <w:tab/>
        </w:r>
        <w:r w:rsidR="00572691" w:rsidRPr="00572691">
          <w:rPr>
            <w:rStyle w:val="Hypertextovodkaz"/>
            <w:rFonts w:ascii="Verdana" w:hAnsi="Verdana"/>
            <w:noProof/>
            <w:sz w:val="18"/>
            <w:szCs w:val="18"/>
          </w:rPr>
          <w:t>ochrana důvěrných informací</w:t>
        </w:r>
        <w:r w:rsidR="00572691" w:rsidRPr="00572691">
          <w:rPr>
            <w:rFonts w:ascii="Verdana" w:hAnsi="Verdana"/>
            <w:noProof/>
            <w:webHidden/>
            <w:sz w:val="18"/>
            <w:szCs w:val="18"/>
          </w:rPr>
          <w:tab/>
        </w:r>
        <w:r w:rsidR="00572691" w:rsidRPr="00572691">
          <w:rPr>
            <w:rFonts w:ascii="Verdana" w:hAnsi="Verdana"/>
            <w:noProof/>
            <w:webHidden/>
            <w:sz w:val="18"/>
            <w:szCs w:val="18"/>
          </w:rPr>
          <w:fldChar w:fldCharType="begin"/>
        </w:r>
        <w:r w:rsidR="00572691" w:rsidRPr="00572691">
          <w:rPr>
            <w:rFonts w:ascii="Verdana" w:hAnsi="Verdana"/>
            <w:noProof/>
            <w:webHidden/>
            <w:sz w:val="18"/>
            <w:szCs w:val="18"/>
          </w:rPr>
          <w:instrText xml:space="preserve"> PAGEREF _Toc141473689 \h </w:instrText>
        </w:r>
        <w:r w:rsidR="00572691" w:rsidRPr="00572691">
          <w:rPr>
            <w:rFonts w:ascii="Verdana" w:hAnsi="Verdana"/>
            <w:noProof/>
            <w:webHidden/>
            <w:sz w:val="18"/>
            <w:szCs w:val="18"/>
          </w:rPr>
        </w:r>
        <w:r w:rsidR="00572691" w:rsidRPr="00572691">
          <w:rPr>
            <w:rFonts w:ascii="Verdana" w:hAnsi="Verdana"/>
            <w:noProof/>
            <w:webHidden/>
            <w:sz w:val="18"/>
            <w:szCs w:val="18"/>
          </w:rPr>
          <w:fldChar w:fldCharType="separate"/>
        </w:r>
        <w:r w:rsidR="00572691" w:rsidRPr="00572691">
          <w:rPr>
            <w:rFonts w:ascii="Verdana" w:hAnsi="Verdana"/>
            <w:noProof/>
            <w:webHidden/>
            <w:sz w:val="18"/>
            <w:szCs w:val="18"/>
          </w:rPr>
          <w:t>27</w:t>
        </w:r>
        <w:r w:rsidR="00572691" w:rsidRPr="00572691">
          <w:rPr>
            <w:rFonts w:ascii="Verdana" w:hAnsi="Verdana"/>
            <w:noProof/>
            <w:webHidden/>
            <w:sz w:val="18"/>
            <w:szCs w:val="18"/>
          </w:rPr>
          <w:fldChar w:fldCharType="end"/>
        </w:r>
      </w:hyperlink>
    </w:p>
    <w:p w14:paraId="4881131C" w14:textId="47102689" w:rsidR="003E784C" w:rsidRPr="00ED6198" w:rsidRDefault="003E784C" w:rsidP="00572691">
      <w:pPr>
        <w:pStyle w:val="TPObsah1"/>
      </w:pPr>
      <w:r w:rsidRPr="00572691">
        <w:rPr>
          <w:sz w:val="18"/>
          <w:szCs w:val="18"/>
        </w:rPr>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41473668"/>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575540BB"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w:t>
      </w:r>
      <w:r w:rsidR="004052F1">
        <w:t> </w:t>
      </w:r>
      <w:r w:rsidRPr="00ED6198">
        <w:t>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4FE49737"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w:t>
      </w:r>
      <w:r w:rsidR="004052F1">
        <w:t> </w:t>
      </w:r>
      <w:r w:rsidR="00E56CB1" w:rsidRPr="00ED6198">
        <w:t>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3DC18B1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w:t>
      </w:r>
      <w:r w:rsidR="004052F1">
        <w:t> </w:t>
      </w:r>
      <w:r w:rsidR="00E56CB1" w:rsidRPr="00ED6198">
        <w:t>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76DC09C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s jinými prvky informačních a</w:t>
      </w:r>
      <w:r w:rsidR="004052F1">
        <w:t> </w:t>
      </w:r>
      <w:r w:rsidR="0000380B" w:rsidRPr="00ED6198">
        <w:t xml:space="preserve">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B087DA6"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w:t>
      </w:r>
      <w:r w:rsidR="001B0820">
        <w:t> </w:t>
      </w:r>
      <w:r w:rsidR="00AD12AE" w:rsidRPr="00ED6198">
        <w:t>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3DAA49EA"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a</w:t>
      </w:r>
      <w:r w:rsidR="001B0820">
        <w:t> </w:t>
      </w:r>
      <w:r w:rsidR="00933374" w:rsidRPr="00ED6198">
        <w:t xml:space="preserve">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1B0820">
      <w:pPr>
        <w:pStyle w:val="TPText-1slovan"/>
        <w:numPr>
          <w:ilvl w:val="0"/>
          <w:numId w:val="46"/>
        </w:numPr>
        <w:ind w:left="1701" w:hanging="425"/>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1B0820">
      <w:pPr>
        <w:pStyle w:val="TPText-1slovan"/>
        <w:numPr>
          <w:ilvl w:val="0"/>
          <w:numId w:val="46"/>
        </w:numPr>
        <w:ind w:left="1701" w:hanging="425"/>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300C7EF9" w:rsidR="00A75D3E" w:rsidRPr="00ED6198" w:rsidRDefault="005E0D14" w:rsidP="001B0820">
      <w:pPr>
        <w:pStyle w:val="TPText-1slovan"/>
        <w:numPr>
          <w:ilvl w:val="0"/>
          <w:numId w:val="46"/>
        </w:numPr>
        <w:ind w:left="1701" w:hanging="425"/>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w:t>
      </w:r>
      <w:r w:rsidR="001B0820">
        <w:t> </w:t>
      </w:r>
      <w:r w:rsidRPr="00ED6198">
        <w:t>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1B0820">
      <w:pPr>
        <w:pStyle w:val="TPText-1slovan"/>
        <w:numPr>
          <w:ilvl w:val="0"/>
          <w:numId w:val="46"/>
        </w:numPr>
        <w:ind w:left="1701" w:hanging="425"/>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7AA9EB75"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Produkčním prostředí a reálných situací a</w:t>
      </w:r>
      <w:r w:rsidR="006525E4">
        <w:t> </w:t>
      </w:r>
      <w:r w:rsidR="007C3796" w:rsidRPr="00ED6198">
        <w:t xml:space="preserve">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1194BC51"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je zakázka realizovaná na základě smlouvy mezi Objednatelem a</w:t>
      </w:r>
      <w:r w:rsidR="006525E4">
        <w:t> </w:t>
      </w:r>
      <w:r w:rsidR="008B6251" w:rsidRPr="00ED6198">
        <w:t xml:space="preserve">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06F98226"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bjednatele a</w:t>
      </w:r>
      <w:r w:rsidR="006525E4">
        <w:t> </w:t>
      </w:r>
      <w:r w:rsidRPr="00ED6198">
        <w:t xml:space="preserve">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59EFEFF4" w:rsidR="009364A6" w:rsidRPr="00335BA4" w:rsidRDefault="009364A6" w:rsidP="006525E4">
      <w:pPr>
        <w:pStyle w:val="TPText-1slovan"/>
        <w:numPr>
          <w:ilvl w:val="0"/>
          <w:numId w:val="57"/>
        </w:numPr>
        <w:ind w:left="1701" w:hanging="425"/>
      </w:pPr>
      <w:r w:rsidRPr="00335BA4">
        <w:t>změny pravidel ochranných systémů aplikačních firewallů a pravidel přepínání a</w:t>
      </w:r>
      <w:r w:rsidR="006525E4">
        <w:t> </w:t>
      </w:r>
      <w:r w:rsidRPr="00335BA4">
        <w:t>směrování v</w:t>
      </w:r>
      <w:r w:rsidR="00E03343" w:rsidRPr="00335BA4">
        <w:t> </w:t>
      </w:r>
      <w:r w:rsidRPr="00335BA4">
        <w:t>sítích,</w:t>
      </w:r>
    </w:p>
    <w:p w14:paraId="23D5B1E7" w14:textId="4A0FA878" w:rsidR="009364A6" w:rsidRPr="00335BA4" w:rsidRDefault="009364A6" w:rsidP="006525E4">
      <w:pPr>
        <w:pStyle w:val="TPText-1slovan"/>
        <w:numPr>
          <w:ilvl w:val="0"/>
          <w:numId w:val="57"/>
        </w:numPr>
        <w:ind w:left="1701" w:hanging="425"/>
      </w:pPr>
      <w:r w:rsidRPr="00335BA4">
        <w:t>změny autentizačních mechanismů,</w:t>
      </w:r>
    </w:p>
    <w:p w14:paraId="55BEE66C" w14:textId="29B37317" w:rsidR="009364A6" w:rsidRPr="00335BA4" w:rsidRDefault="009364A6" w:rsidP="006525E4">
      <w:pPr>
        <w:pStyle w:val="TPText-1slovan"/>
        <w:numPr>
          <w:ilvl w:val="0"/>
          <w:numId w:val="57"/>
        </w:numPr>
        <w:ind w:left="1701" w:hanging="425"/>
      </w:pPr>
      <w:r w:rsidRPr="00335BA4">
        <w:t>přidání, změna nebo odebrání služeb, informačních systémů/aplikací nebo ochranných systémů,</w:t>
      </w:r>
    </w:p>
    <w:p w14:paraId="64530063" w14:textId="4F9208A5" w:rsidR="009364A6" w:rsidRPr="00335BA4" w:rsidRDefault="009364A6" w:rsidP="006525E4">
      <w:pPr>
        <w:pStyle w:val="TPText-1slovan"/>
        <w:numPr>
          <w:ilvl w:val="0"/>
          <w:numId w:val="57"/>
        </w:numPr>
        <w:ind w:left="1701" w:hanging="425"/>
      </w:pPr>
      <w:r w:rsidRPr="00335BA4">
        <w:t>změny, které umožňují sdílení informací, služeb nebo zdrojů mimo provozní prostředí,</w:t>
      </w:r>
    </w:p>
    <w:p w14:paraId="30628260" w14:textId="02864424" w:rsidR="009364A6" w:rsidRPr="00335BA4" w:rsidRDefault="009364A6" w:rsidP="006525E4">
      <w:pPr>
        <w:pStyle w:val="TPText-1slovan"/>
        <w:numPr>
          <w:ilvl w:val="0"/>
          <w:numId w:val="57"/>
        </w:numPr>
        <w:ind w:left="1701" w:hanging="425"/>
      </w:pPr>
      <w:r w:rsidRPr="00335BA4">
        <w:t>změny opatření pro zajištění bezpečnosti vzdáleného přístupu,</w:t>
      </w:r>
    </w:p>
    <w:p w14:paraId="79471B95" w14:textId="7421660E" w:rsidR="009364A6" w:rsidRPr="00335BA4" w:rsidRDefault="009364A6" w:rsidP="006525E4">
      <w:pPr>
        <w:pStyle w:val="TPText-1slovan"/>
        <w:numPr>
          <w:ilvl w:val="0"/>
          <w:numId w:val="57"/>
        </w:numPr>
        <w:ind w:left="1701" w:hanging="425"/>
      </w:pPr>
      <w:r w:rsidRPr="00335BA4">
        <w:t>zavedení skriptů pro automatické přihlášení,</w:t>
      </w:r>
    </w:p>
    <w:p w14:paraId="4055147B" w14:textId="04AE2FD8" w:rsidR="009364A6" w:rsidRPr="00335BA4" w:rsidRDefault="009364A6" w:rsidP="006525E4">
      <w:pPr>
        <w:pStyle w:val="TPText-1slovan"/>
        <w:numPr>
          <w:ilvl w:val="0"/>
          <w:numId w:val="57"/>
        </w:numPr>
        <w:ind w:left="1701" w:hanging="425"/>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674A9F53"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w:t>
      </w:r>
      <w:r w:rsidR="001F27DB" w:rsidRPr="00ED6198">
        <w:lastRenderedPageBreak/>
        <w:t>a</w:t>
      </w:r>
      <w:r w:rsidR="006525E4">
        <w:t> </w:t>
      </w:r>
      <w:r w:rsidR="001F27DB" w:rsidRPr="00ED6198">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41473669"/>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C00A10">
      <w:pPr>
        <w:pStyle w:val="TPText-1slovan"/>
        <w:numPr>
          <w:ilvl w:val="0"/>
          <w:numId w:val="24"/>
        </w:numPr>
        <w:ind w:left="1701" w:hanging="425"/>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C00A10">
      <w:pPr>
        <w:pStyle w:val="TPText-1slovan"/>
        <w:numPr>
          <w:ilvl w:val="0"/>
          <w:numId w:val="24"/>
        </w:numPr>
        <w:ind w:left="1701" w:hanging="425"/>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18FD9E5D" w:rsidR="009D366F" w:rsidRPr="00335BA4" w:rsidRDefault="009D366F" w:rsidP="00C00A10">
      <w:pPr>
        <w:pStyle w:val="TPText-1slovan"/>
        <w:numPr>
          <w:ilvl w:val="0"/>
          <w:numId w:val="24"/>
        </w:numPr>
        <w:ind w:left="1701" w:hanging="425"/>
      </w:pPr>
      <w:r w:rsidRPr="00335BA4">
        <w:t xml:space="preserve">je poskytován za </w:t>
      </w:r>
      <w:r w:rsidR="0048275A" w:rsidRPr="00335BA4">
        <w:t xml:space="preserve">podmínky </w:t>
      </w:r>
      <w:r w:rsidRPr="00335BA4">
        <w:t>dodržování veškerých bezpečnostních opatření a</w:t>
      </w:r>
      <w:r w:rsidR="00C00A10">
        <w:t> </w:t>
      </w:r>
      <w:r w:rsidRPr="00335BA4">
        <w:t>požadavků Objednatele.</w:t>
      </w:r>
    </w:p>
    <w:p w14:paraId="472F689F" w14:textId="51A80E4E" w:rsidR="000301CA" w:rsidRPr="00ED6198" w:rsidRDefault="00442655" w:rsidP="00F07A3F">
      <w:pPr>
        <w:pStyle w:val="TPNADPIS-1slovan"/>
        <w:jc w:val="both"/>
      </w:pPr>
      <w:bookmarkStart w:id="45" w:name="_Toc141473670"/>
      <w:r w:rsidRPr="00ED6198">
        <w:t>P</w:t>
      </w:r>
      <w:r w:rsidR="000301CA" w:rsidRPr="00ED6198">
        <w:t>ráva a povinnosti obou stran</w:t>
      </w:r>
      <w:bookmarkEnd w:id="45"/>
    </w:p>
    <w:p w14:paraId="7F5006C1" w14:textId="27AE9626"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s veškerými obecně závaznými právními předpisy a</w:t>
      </w:r>
      <w:r w:rsidR="00C00A10">
        <w:t>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826B02C"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závazná vždy ode dne, kdy se s ní seznámil či měl prokazatelnou možnost se s</w:t>
      </w:r>
      <w:r w:rsidR="00C00A10">
        <w:t> </w:t>
      </w:r>
      <w:r w:rsidRPr="00ED6198">
        <w:t>nimi seznámit. Rozsah Interních předpisů může být Objednatelem jednostranně rozšířen o</w:t>
      </w:r>
      <w:r w:rsidR="00C00A10">
        <w:t> </w:t>
      </w:r>
      <w:r w:rsidRPr="00ED6198">
        <w:t xml:space="preserve">další dokumenty stanovující jeho interní procesy. </w:t>
      </w:r>
    </w:p>
    <w:p w14:paraId="63D235E0" w14:textId="08880D3D" w:rsidR="000301CA" w:rsidRPr="00ED6198" w:rsidRDefault="000301CA" w:rsidP="00F07A3F">
      <w:pPr>
        <w:pStyle w:val="TPNADPIS-1slovan"/>
        <w:jc w:val="both"/>
      </w:pPr>
      <w:bookmarkStart w:id="46" w:name="_Toc141473671"/>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59BD0B93" w:rsidR="00C21A4E" w:rsidRPr="00ED6198" w:rsidRDefault="00C21A4E" w:rsidP="00664159">
      <w:pPr>
        <w:pStyle w:val="TPText-1slovan"/>
      </w:pPr>
      <w:r w:rsidRPr="00ED6198">
        <w:t>Dodavatel se během poskytování Plnění pro Objednatele zavazuje informovat Objednatele o</w:t>
      </w:r>
      <w:r w:rsidR="00C00A10">
        <w:t>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w:t>
      </w:r>
      <w:r w:rsidR="00C00A10">
        <w:t> </w:t>
      </w:r>
      <w:r w:rsidRPr="00ED6198">
        <w:t>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w:t>
      </w:r>
      <w:r w:rsidR="00C00A10">
        <w:t> </w:t>
      </w:r>
      <w:r w:rsidRPr="00ED6198">
        <w:t>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C00A10">
      <w:pPr>
        <w:pStyle w:val="TPText-1slovan"/>
        <w:numPr>
          <w:ilvl w:val="0"/>
          <w:numId w:val="56"/>
        </w:numPr>
        <w:ind w:left="1701" w:hanging="425"/>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C00A10">
      <w:pPr>
        <w:pStyle w:val="TPText-1slovan"/>
        <w:numPr>
          <w:ilvl w:val="0"/>
          <w:numId w:val="56"/>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C00A10">
      <w:pPr>
        <w:pStyle w:val="TPText-1slovan"/>
        <w:numPr>
          <w:ilvl w:val="0"/>
          <w:numId w:val="56"/>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C00A10">
      <w:pPr>
        <w:pStyle w:val="TPText-1slovan"/>
        <w:numPr>
          <w:ilvl w:val="0"/>
          <w:numId w:val="56"/>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C00A10">
      <w:pPr>
        <w:pStyle w:val="TPText-1slovan"/>
        <w:numPr>
          <w:ilvl w:val="0"/>
          <w:numId w:val="56"/>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C00A10">
      <w:pPr>
        <w:pStyle w:val="TPText-1slovan"/>
        <w:numPr>
          <w:ilvl w:val="0"/>
          <w:numId w:val="56"/>
        </w:numPr>
        <w:ind w:left="1701" w:hanging="425"/>
      </w:pPr>
      <w:r>
        <w:t>bez zbytečného odkladu oznamovat Objednateli všechny Kybernetické bezpečnostní události a Kybernetické bezpečnostní incidenty s potenciálním negativním dopadem na Objednatele;</w:t>
      </w:r>
    </w:p>
    <w:p w14:paraId="323ABCCD" w14:textId="618EC6DB" w:rsidR="00DC440D" w:rsidRPr="00335BA4" w:rsidRDefault="00C21A4E" w:rsidP="00C00A10">
      <w:pPr>
        <w:pStyle w:val="TPText-1slovan"/>
        <w:numPr>
          <w:ilvl w:val="0"/>
          <w:numId w:val="56"/>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w:t>
      </w:r>
      <w:r w:rsidR="00C00A10">
        <w:t> </w:t>
      </w:r>
      <w:r w:rsidRPr="00335BA4">
        <w:t>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C00A10">
      <w:pPr>
        <w:pStyle w:val="TPText-1slovan"/>
        <w:numPr>
          <w:ilvl w:val="0"/>
          <w:numId w:val="56"/>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C00A10">
      <w:pPr>
        <w:pStyle w:val="TPText-1slovan"/>
        <w:numPr>
          <w:ilvl w:val="0"/>
          <w:numId w:val="56"/>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41473672"/>
      <w:bookmarkEnd w:id="47"/>
      <w:r w:rsidRPr="00ED6198">
        <w:t>Povinnosti objednatele</w:t>
      </w:r>
      <w:bookmarkEnd w:id="48"/>
    </w:p>
    <w:p w14:paraId="5297DEE9" w14:textId="2D8335F8"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v</w:t>
      </w:r>
      <w:r w:rsidR="00C00A10">
        <w:t> </w:t>
      </w:r>
      <w:r w:rsidRPr="00CB0896">
        <w:t xml:space="preserve">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w:t>
      </w:r>
      <w:r w:rsidRPr="00CB0896">
        <w:lastRenderedPageBreak/>
        <w:t xml:space="preserve">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w:t>
      </w:r>
      <w:r w:rsidR="00C00A10">
        <w:t> </w:t>
      </w:r>
      <w:r w:rsidRPr="00CB0896">
        <w:t xml:space="preserve">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41473673"/>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493A77">
      <w:pPr>
        <w:pStyle w:val="TPText-2slovan"/>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493A77">
      <w:pPr>
        <w:pStyle w:val="TPText-2slovan"/>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493A77">
      <w:pPr>
        <w:pStyle w:val="TPText-2slovan"/>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493A77">
      <w:pPr>
        <w:pStyle w:val="TPText-2slovan"/>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493A77">
      <w:pPr>
        <w:pStyle w:val="TPText-2slovan"/>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69ADFD33" w:rsidR="00A64DFE" w:rsidRPr="00335BA4" w:rsidRDefault="00A64DFE" w:rsidP="00493A77">
      <w:pPr>
        <w:pStyle w:val="TPText-2slovan"/>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Nedojde-li z jakéhokoliv důvodu k převodu práva dle předchozí věty, uděluje Dodavatel Objednateli oprávnění k vytěžování a</w:t>
      </w:r>
      <w:r w:rsidR="00493A77">
        <w:t> </w:t>
      </w:r>
      <w:r w:rsidR="009D461E" w:rsidRPr="00335BA4">
        <w:t xml:space="preserve">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493A77">
      <w:pPr>
        <w:pStyle w:val="TPText-2slovan"/>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493A77">
      <w:pPr>
        <w:pStyle w:val="TPText-2slovan"/>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493A77">
      <w:pPr>
        <w:pStyle w:val="TPText-2slovan"/>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493A77">
      <w:pPr>
        <w:pStyle w:val="TPText-2slovan"/>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w:t>
      </w:r>
      <w:r w:rsidR="00FE534A" w:rsidRPr="00335BA4">
        <w:lastRenderedPageBreak/>
        <w:t xml:space="preserve">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493A77">
      <w:pPr>
        <w:pStyle w:val="TPText-1slovan"/>
        <w:numPr>
          <w:ilvl w:val="0"/>
          <w:numId w:val="32"/>
        </w:numPr>
        <w:ind w:left="2552" w:hanging="425"/>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493A77">
      <w:pPr>
        <w:pStyle w:val="TPText-1slovan"/>
        <w:numPr>
          <w:ilvl w:val="0"/>
          <w:numId w:val="32"/>
        </w:numPr>
        <w:ind w:left="2552" w:hanging="425"/>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/licen</w:t>
      </w:r>
      <w:r w:rsidR="00A86C61">
        <w:t>c</w:t>
      </w:r>
      <w:r w:rsidR="000F0903" w:rsidRPr="00ED6198">
        <w:t xml:space="preserve">e </w:t>
      </w:r>
      <w:proofErr w:type="spellStart"/>
      <w:r w:rsidR="000F0903" w:rsidRPr="00ED6198">
        <w:t>maintenance</w:t>
      </w:r>
      <w:proofErr w:type="spellEnd"/>
      <w:r w:rsidR="000F0903" w:rsidRPr="00ED6198">
        <w:t xml:space="preserv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493A77">
      <w:pPr>
        <w:pStyle w:val="TPText-1slovan"/>
        <w:numPr>
          <w:ilvl w:val="0"/>
          <w:numId w:val="32"/>
        </w:numPr>
        <w:ind w:left="2552" w:hanging="425"/>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493A77">
      <w:pPr>
        <w:pStyle w:val="TPText-1slovan"/>
        <w:numPr>
          <w:ilvl w:val="0"/>
          <w:numId w:val="32"/>
        </w:numPr>
        <w:ind w:left="2552" w:hanging="425"/>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493A77">
      <w:pPr>
        <w:pStyle w:val="TPText-1slovan"/>
        <w:numPr>
          <w:ilvl w:val="0"/>
          <w:numId w:val="37"/>
        </w:numPr>
        <w:ind w:left="2552" w:hanging="425"/>
      </w:pPr>
      <w:r w:rsidRPr="00ED6198">
        <w:t>Aktualizaci, Modernizaci a Zásadní modernizaci;</w:t>
      </w:r>
    </w:p>
    <w:p w14:paraId="17303A56" w14:textId="3EC72187" w:rsidR="00006EA2" w:rsidRPr="00ED6198" w:rsidRDefault="00006EA2" w:rsidP="00493A77">
      <w:pPr>
        <w:pStyle w:val="TPText-1slovan"/>
        <w:numPr>
          <w:ilvl w:val="0"/>
          <w:numId w:val="37"/>
        </w:numPr>
        <w:ind w:left="2552" w:hanging="425"/>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493A77">
      <w:pPr>
        <w:pStyle w:val="TPText-1slovan"/>
        <w:numPr>
          <w:ilvl w:val="0"/>
          <w:numId w:val="37"/>
        </w:numPr>
        <w:ind w:left="2552" w:hanging="425"/>
      </w:pPr>
      <w:r w:rsidRPr="00ED6198">
        <w:t>Dokumentaci nad rámec Dokumentace dle předchozího bodu;</w:t>
      </w:r>
    </w:p>
    <w:p w14:paraId="5575CBDE" w14:textId="3070E71C" w:rsidR="00006EA2" w:rsidRPr="00ED6198" w:rsidRDefault="00006EA2" w:rsidP="00493A77">
      <w:pPr>
        <w:pStyle w:val="TPText-1slovan"/>
        <w:numPr>
          <w:ilvl w:val="0"/>
          <w:numId w:val="37"/>
        </w:numPr>
        <w:ind w:left="2552" w:hanging="425"/>
      </w:pPr>
      <w:r w:rsidRPr="00ED6198">
        <w:t xml:space="preserve">právo zužitkovat a vytěžovat Databáze, pokud jde o jiné Databáze než dle Smlouvy; </w:t>
      </w:r>
      <w:r w:rsidR="002B7DBD" w:rsidRPr="00ED6198">
        <w:t>a pokud tyto souvisí a jsou vhodné či nezbytné k naplnění účelu a</w:t>
      </w:r>
      <w:r w:rsidR="00493A77">
        <w:t> </w:t>
      </w:r>
      <w:r w:rsidR="005A47D9">
        <w:t>P</w:t>
      </w:r>
      <w:r w:rsidR="002B7DBD" w:rsidRPr="00ED6198">
        <w:t>ředmětu Smlouvy</w:t>
      </w:r>
      <w:r w:rsidR="00A56DD9">
        <w:t>;</w:t>
      </w:r>
    </w:p>
    <w:p w14:paraId="231AEECC" w14:textId="3FEF3D60" w:rsidR="00006EA2" w:rsidRPr="00ED6198" w:rsidRDefault="00006EA2" w:rsidP="00493A77">
      <w:pPr>
        <w:pStyle w:val="TPText-1slovan"/>
        <w:numPr>
          <w:ilvl w:val="0"/>
          <w:numId w:val="37"/>
        </w:numPr>
        <w:ind w:left="2552" w:hanging="425"/>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493A77">
      <w:pPr>
        <w:pStyle w:val="TPText-2slovan"/>
        <w:numPr>
          <w:ilvl w:val="2"/>
          <w:numId w:val="63"/>
        </w:numPr>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286EEA9" w:rsidR="00650E11" w:rsidRPr="00ED6198" w:rsidRDefault="00AA590A" w:rsidP="00493A77">
      <w:pPr>
        <w:pStyle w:val="TPText-2slovan"/>
        <w:numPr>
          <w:ilvl w:val="2"/>
          <w:numId w:val="63"/>
        </w:numPr>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lastRenderedPageBreak/>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w:t>
      </w:r>
      <w:r w:rsidR="00FD39DF">
        <w:t> </w:t>
      </w:r>
      <w:r w:rsidRPr="00ED6198">
        <w:t xml:space="preserve">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 xml:space="preserve">a jeho </w:t>
      </w:r>
      <w:proofErr w:type="spellStart"/>
      <w:r w:rsidRPr="00E4337D">
        <w:t>podčlánků</w:t>
      </w:r>
      <w:proofErr w:type="spellEnd"/>
      <w:r w:rsidRPr="00E4337D">
        <w:t xml:space="preserve">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41473674"/>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6A8611CA"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w:t>
      </w:r>
      <w:r w:rsidR="00FD39DF">
        <w:t> </w:t>
      </w:r>
      <w:r w:rsidRPr="00ED6198">
        <w:t>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D39DF">
      <w:pPr>
        <w:pStyle w:val="TPText-1slovan"/>
        <w:numPr>
          <w:ilvl w:val="0"/>
          <w:numId w:val="38"/>
        </w:numPr>
        <w:ind w:left="1701" w:hanging="425"/>
      </w:pPr>
      <w:r w:rsidRPr="00ED6198">
        <w:t xml:space="preserve">Kompletní </w:t>
      </w:r>
      <w:r w:rsidR="00EF4636" w:rsidRPr="00ED6198">
        <w:t>Z</w:t>
      </w:r>
      <w:r w:rsidRPr="00ED6198">
        <w:t>drojové kódy celého díla.</w:t>
      </w:r>
    </w:p>
    <w:p w14:paraId="14DCD874" w14:textId="32C457D9" w:rsidR="0055737D" w:rsidRPr="00ED6198" w:rsidRDefault="0055737D" w:rsidP="00FD39DF">
      <w:pPr>
        <w:pStyle w:val="TPText-1slovan"/>
        <w:numPr>
          <w:ilvl w:val="0"/>
          <w:numId w:val="38"/>
        </w:numPr>
        <w:ind w:left="1701" w:hanging="425"/>
      </w:pPr>
      <w:r w:rsidRPr="00ED6198">
        <w:t>Uživatelskou příručku obsahující konkrétní popis uživatelského prostředí, funkcí a</w:t>
      </w:r>
      <w:r w:rsidR="00FD39DF">
        <w:t> </w:t>
      </w:r>
      <w:r w:rsidRPr="00ED6198">
        <w:t>postupů pro zaškolení zaměstnanců.</w:t>
      </w:r>
    </w:p>
    <w:p w14:paraId="1BA81395" w14:textId="6C6F95E4" w:rsidR="001304A1" w:rsidRPr="00ED6198" w:rsidRDefault="0055737D" w:rsidP="00FD39DF">
      <w:pPr>
        <w:pStyle w:val="TPText-1slovan"/>
        <w:numPr>
          <w:ilvl w:val="0"/>
          <w:numId w:val="38"/>
        </w:numPr>
        <w:ind w:left="1701" w:hanging="425"/>
      </w:pPr>
      <w:r w:rsidRPr="00ED6198">
        <w:t>Administrátorskou příručku, popisující všechny parametry, které lze konfigurovat a</w:t>
      </w:r>
      <w:r w:rsidR="00FD39DF">
        <w:t> </w:t>
      </w:r>
      <w:r w:rsidRPr="00ED6198">
        <w:t>popis dopadů změny konfigurace do systému.</w:t>
      </w:r>
    </w:p>
    <w:p w14:paraId="6E32730F" w14:textId="7ED5D41C" w:rsidR="0055737D" w:rsidRPr="00ED6198" w:rsidRDefault="0055737D" w:rsidP="00FD39DF">
      <w:pPr>
        <w:pStyle w:val="TPText-1slovan"/>
        <w:numPr>
          <w:ilvl w:val="0"/>
          <w:numId w:val="38"/>
        </w:numPr>
        <w:ind w:left="1701" w:hanging="425"/>
        <w:rPr>
          <w:szCs w:val="20"/>
        </w:rPr>
      </w:pPr>
      <w:r w:rsidRPr="00ED6198">
        <w:t>Technickou dokumentaci systému, pakliže se jedná o vícevrstvou architekturu, popis každé vrstvy zvlášť:</w:t>
      </w:r>
    </w:p>
    <w:p w14:paraId="2074F8F1" w14:textId="77777777" w:rsidR="0055737D" w:rsidRPr="00ED6198" w:rsidRDefault="0055737D" w:rsidP="00FD39DF">
      <w:pPr>
        <w:pStyle w:val="Odstavecseseznamem"/>
        <w:numPr>
          <w:ilvl w:val="2"/>
          <w:numId w:val="39"/>
        </w:numPr>
        <w:spacing w:before="80" w:after="0"/>
        <w:ind w:left="2552" w:hanging="567"/>
        <w:contextualSpacing w:val="0"/>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FD39DF">
      <w:pPr>
        <w:pStyle w:val="Odstavecseseznamem"/>
        <w:numPr>
          <w:ilvl w:val="2"/>
          <w:numId w:val="39"/>
        </w:numPr>
        <w:spacing w:before="80" w:after="0"/>
        <w:ind w:left="2552" w:hanging="567"/>
        <w:contextualSpacing w:val="0"/>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FD39DF">
      <w:pPr>
        <w:pStyle w:val="Odstavecseseznamem"/>
        <w:numPr>
          <w:ilvl w:val="2"/>
          <w:numId w:val="39"/>
        </w:numPr>
        <w:spacing w:before="80" w:after="0"/>
        <w:ind w:left="2552" w:hanging="567"/>
        <w:contextualSpacing w:val="0"/>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D39DF">
      <w:pPr>
        <w:pStyle w:val="TPText-1slovan"/>
        <w:numPr>
          <w:ilvl w:val="0"/>
          <w:numId w:val="38"/>
        </w:numPr>
        <w:ind w:left="1701" w:hanging="425"/>
      </w:pPr>
      <w:r w:rsidRPr="00ED6198">
        <w:t>Popis konfigurace provozního prostředí systému (serverová strana i klientská strana)</w:t>
      </w:r>
      <w:r w:rsidR="00615CEF">
        <w:t>.</w:t>
      </w:r>
    </w:p>
    <w:p w14:paraId="7CA4E2A0" w14:textId="2A2FCC3D" w:rsidR="00ED6713" w:rsidRPr="00ED6198" w:rsidRDefault="0055737D" w:rsidP="00FD39DF">
      <w:pPr>
        <w:pStyle w:val="TPText-1slovan"/>
        <w:numPr>
          <w:ilvl w:val="0"/>
          <w:numId w:val="38"/>
        </w:numPr>
        <w:ind w:left="1701" w:hanging="425"/>
      </w:pPr>
      <w:r w:rsidRPr="00ED6198">
        <w:lastRenderedPageBreak/>
        <w:t>Dokumentace musí obsahovat soupis všech požadavků na nastavení hardwarových a</w:t>
      </w:r>
      <w:r w:rsidR="00FD39DF">
        <w:t> </w:t>
      </w:r>
      <w:r w:rsidRPr="00ED6198">
        <w:t>softwarových komponent běhového prostředí jako jsou:</w:t>
      </w:r>
    </w:p>
    <w:p w14:paraId="79960249" w14:textId="68ECB0B5" w:rsidR="0055737D" w:rsidRPr="00ED6198" w:rsidRDefault="0055737D" w:rsidP="00FD39DF">
      <w:pPr>
        <w:pStyle w:val="Odstavecseseznamem"/>
        <w:numPr>
          <w:ilvl w:val="0"/>
          <w:numId w:val="50"/>
        </w:numPr>
        <w:spacing w:before="80" w:after="0"/>
        <w:ind w:left="2552" w:hanging="567"/>
        <w:contextualSpacing w:val="0"/>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D39DF">
      <w:pPr>
        <w:pStyle w:val="Odstavecseseznamem"/>
        <w:numPr>
          <w:ilvl w:val="0"/>
          <w:numId w:val="50"/>
        </w:numPr>
        <w:spacing w:before="80" w:after="0"/>
        <w:ind w:left="2552" w:hanging="567"/>
        <w:contextualSpacing w:val="0"/>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D39DF">
      <w:pPr>
        <w:pStyle w:val="Odstavecseseznamem"/>
        <w:numPr>
          <w:ilvl w:val="0"/>
          <w:numId w:val="50"/>
        </w:numPr>
        <w:spacing w:before="80" w:after="0"/>
        <w:ind w:left="2552" w:hanging="567"/>
        <w:contextualSpacing w:val="0"/>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525FE97E" w:rsidR="00A50EBE" w:rsidRPr="00ED6198" w:rsidRDefault="00D3172A" w:rsidP="00FD39DF">
      <w:pPr>
        <w:pStyle w:val="TPText-1slovan"/>
        <w:numPr>
          <w:ilvl w:val="0"/>
          <w:numId w:val="38"/>
        </w:numPr>
        <w:ind w:left="1701" w:hanging="425"/>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w:t>
      </w:r>
      <w:r w:rsidR="00FD39DF">
        <w:t> </w:t>
      </w:r>
      <w:r w:rsidRPr="00ED6198">
        <w:t xml:space="preserve">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D39DF">
      <w:pPr>
        <w:pStyle w:val="TPText-1slovan"/>
        <w:numPr>
          <w:ilvl w:val="0"/>
          <w:numId w:val="38"/>
        </w:numPr>
        <w:ind w:left="1701" w:hanging="425"/>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41473675"/>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D39DF">
      <w:pPr>
        <w:pStyle w:val="TPText-1slovan"/>
        <w:numPr>
          <w:ilvl w:val="0"/>
          <w:numId w:val="21"/>
        </w:numPr>
        <w:ind w:left="1701" w:hanging="425"/>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D39DF">
      <w:pPr>
        <w:pStyle w:val="TPText-1slovan"/>
        <w:numPr>
          <w:ilvl w:val="0"/>
          <w:numId w:val="21"/>
        </w:numPr>
        <w:ind w:left="1701" w:hanging="425"/>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7DBAA479" w:rsidR="006730E8" w:rsidRPr="00ED6198" w:rsidRDefault="006730E8" w:rsidP="00FD39DF">
      <w:pPr>
        <w:pStyle w:val="TPText-1slovan"/>
        <w:numPr>
          <w:ilvl w:val="0"/>
          <w:numId w:val="21"/>
        </w:numPr>
        <w:ind w:left="1701" w:hanging="425"/>
      </w:pPr>
      <w:r w:rsidRPr="00ED6198">
        <w:t>po provedení všech nezbytných činností v rámci Akceptačního řízení se Objednatel i</w:t>
      </w:r>
      <w:r w:rsidR="00FD39DF">
        <w:t>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D39DF">
      <w:pPr>
        <w:pStyle w:val="TPText-1slovan"/>
        <w:numPr>
          <w:ilvl w:val="0"/>
          <w:numId w:val="22"/>
        </w:numPr>
        <w:ind w:left="2552" w:hanging="567"/>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D39DF">
      <w:pPr>
        <w:pStyle w:val="TPText-1slovan"/>
        <w:numPr>
          <w:ilvl w:val="0"/>
          <w:numId w:val="22"/>
        </w:numPr>
        <w:ind w:left="2552" w:hanging="567"/>
      </w:pPr>
      <w:r w:rsidRPr="00ED6198">
        <w:t>Akceptační kritéria;</w:t>
      </w:r>
    </w:p>
    <w:p w14:paraId="78BBADC4" w14:textId="31FEC1CA" w:rsidR="006730E8" w:rsidRPr="00ED6198" w:rsidRDefault="006730E8" w:rsidP="00FD39DF">
      <w:pPr>
        <w:pStyle w:val="TPText-1slovan"/>
        <w:numPr>
          <w:ilvl w:val="0"/>
          <w:numId w:val="22"/>
        </w:numPr>
        <w:ind w:left="2552" w:hanging="567"/>
      </w:pPr>
      <w:r w:rsidRPr="00ED6198">
        <w:t>informace o průběhu Testů, jsou-li prováděny</w:t>
      </w:r>
      <w:r w:rsidR="00E2168F" w:rsidRPr="00ED6198">
        <w:t>;</w:t>
      </w:r>
    </w:p>
    <w:p w14:paraId="313F9389" w14:textId="41A2AD64" w:rsidR="006730E8" w:rsidRPr="00ED6198" w:rsidRDefault="006730E8" w:rsidP="00FD39DF">
      <w:pPr>
        <w:pStyle w:val="TPText-1slovan"/>
        <w:numPr>
          <w:ilvl w:val="0"/>
          <w:numId w:val="22"/>
        </w:numPr>
        <w:ind w:left="2552" w:hanging="567"/>
      </w:pPr>
      <w:r w:rsidRPr="00ED6198">
        <w:lastRenderedPageBreak/>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D39DF">
      <w:pPr>
        <w:pStyle w:val="TPText-1slovan"/>
        <w:numPr>
          <w:ilvl w:val="0"/>
          <w:numId w:val="21"/>
        </w:numPr>
        <w:ind w:left="1701" w:hanging="425"/>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D39DF">
      <w:pPr>
        <w:pStyle w:val="TPText-1slovan"/>
        <w:numPr>
          <w:ilvl w:val="0"/>
          <w:numId w:val="21"/>
        </w:numPr>
        <w:ind w:left="1701" w:hanging="425"/>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D39DF">
      <w:pPr>
        <w:pStyle w:val="TPText-1slovan"/>
        <w:numPr>
          <w:ilvl w:val="0"/>
          <w:numId w:val="21"/>
        </w:numPr>
        <w:ind w:left="1701" w:hanging="425"/>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D39DF">
      <w:pPr>
        <w:pStyle w:val="TPText-1slovan"/>
        <w:numPr>
          <w:ilvl w:val="0"/>
          <w:numId w:val="23"/>
        </w:numPr>
        <w:ind w:left="1701" w:hanging="425"/>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D39DF">
      <w:pPr>
        <w:pStyle w:val="TPText-1slovan"/>
        <w:numPr>
          <w:ilvl w:val="0"/>
          <w:numId w:val="23"/>
        </w:numPr>
        <w:ind w:left="1701" w:hanging="425"/>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71B1445D" w:rsidR="00A84D6D" w:rsidRPr="00ED6198" w:rsidRDefault="00A84D6D" w:rsidP="00FD39DF">
      <w:pPr>
        <w:pStyle w:val="TPText-1slovan"/>
        <w:numPr>
          <w:ilvl w:val="0"/>
          <w:numId w:val="43"/>
        </w:numPr>
        <w:ind w:left="1701" w:hanging="425"/>
      </w:pPr>
      <w:r w:rsidRPr="00ED6198">
        <w:t>výkaz a report, včetně všech jeho součástí, se považuje za akceptovaný doručením Dodavateli sdělení Objednatele, že Objednatel jej považuje za úplný a správný, a</w:t>
      </w:r>
      <w:r w:rsidR="00FD39DF">
        <w:t> </w:t>
      </w:r>
      <w:r w:rsidRPr="00ED6198">
        <w:t xml:space="preserve">souhlasí s vystavenou fakturou; nebo </w:t>
      </w:r>
    </w:p>
    <w:p w14:paraId="48DB71B6" w14:textId="66FB70DB" w:rsidR="00A84D6D" w:rsidRPr="00ED6198" w:rsidRDefault="00A84D6D" w:rsidP="00FD39DF">
      <w:pPr>
        <w:pStyle w:val="TPText-1slovan"/>
        <w:numPr>
          <w:ilvl w:val="0"/>
          <w:numId w:val="43"/>
        </w:numPr>
        <w:ind w:left="1701" w:hanging="425"/>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41473676"/>
      <w:bookmarkEnd w:id="70"/>
      <w:bookmarkEnd w:id="71"/>
      <w:bookmarkEnd w:id="74"/>
      <w:bookmarkEnd w:id="75"/>
      <w:bookmarkEnd w:id="76"/>
      <w:bookmarkEnd w:id="77"/>
      <w:bookmarkEnd w:id="78"/>
      <w:bookmarkEnd w:id="79"/>
      <w:bookmarkEnd w:id="80"/>
      <w:bookmarkEnd w:id="81"/>
      <w:bookmarkEnd w:id="82"/>
      <w:r w:rsidRPr="00ED6198">
        <w:lastRenderedPageBreak/>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4F1D9D98"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do té míry, aby jej byli schopni samostatně užívat v souladu se svým pracovním zařazením u</w:t>
      </w:r>
      <w:r w:rsidR="00FD39DF">
        <w:t> </w:t>
      </w:r>
      <w:r w:rsidRPr="00ED6198">
        <w:t xml:space="preserve">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41473677"/>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FD39DF">
      <w:pPr>
        <w:pStyle w:val="TPText-2slovan"/>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FD39DF">
      <w:pPr>
        <w:pStyle w:val="TPText-2slovan"/>
        <w:numPr>
          <w:ilvl w:val="0"/>
          <w:numId w:val="0"/>
        </w:numPr>
        <w:ind w:left="1985"/>
      </w:pPr>
      <w:r w:rsidRPr="00335BA4">
        <w:t>nebo</w:t>
      </w:r>
    </w:p>
    <w:p w14:paraId="18CC046F" w14:textId="77777777" w:rsidR="00F22481" w:rsidRPr="00335BA4" w:rsidRDefault="00F22481" w:rsidP="00FD39DF">
      <w:pPr>
        <w:pStyle w:val="TPText-2slovan"/>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FD39DF">
      <w:pPr>
        <w:pStyle w:val="TPText-1slovan"/>
        <w:numPr>
          <w:ilvl w:val="0"/>
          <w:numId w:val="40"/>
        </w:numPr>
        <w:ind w:left="1701" w:hanging="425"/>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FD39DF">
      <w:pPr>
        <w:pStyle w:val="TPText-1slovan"/>
        <w:numPr>
          <w:ilvl w:val="0"/>
          <w:numId w:val="0"/>
        </w:numPr>
        <w:ind w:left="1709" w:hanging="8"/>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FD39DF">
      <w:pPr>
        <w:pStyle w:val="TPText-1slovan"/>
        <w:numPr>
          <w:ilvl w:val="0"/>
          <w:numId w:val="40"/>
        </w:numPr>
        <w:ind w:left="1701" w:hanging="425"/>
        <w:rPr>
          <w:b/>
          <w:bCs/>
        </w:rPr>
      </w:pPr>
      <w:r w:rsidRPr="00ED6198">
        <w:rPr>
          <w:b/>
          <w:bCs/>
        </w:rPr>
        <w:t xml:space="preserve">Režim </w:t>
      </w:r>
      <w:r w:rsidR="00E01734" w:rsidRPr="00ED6198">
        <w:rPr>
          <w:b/>
          <w:bCs/>
        </w:rPr>
        <w:t>2:</w:t>
      </w:r>
    </w:p>
    <w:p w14:paraId="3170824C" w14:textId="2B1CBD51" w:rsidR="00E9086F" w:rsidRPr="00ED6198" w:rsidRDefault="008266FE" w:rsidP="00FD39DF">
      <w:pPr>
        <w:pStyle w:val="TPText-1slovan"/>
        <w:numPr>
          <w:ilvl w:val="0"/>
          <w:numId w:val="0"/>
        </w:numPr>
        <w:ind w:left="1701"/>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FD39DF">
      <w:pPr>
        <w:pStyle w:val="TPText-1slovan"/>
        <w:numPr>
          <w:ilvl w:val="0"/>
          <w:numId w:val="40"/>
        </w:numPr>
        <w:ind w:left="1701" w:hanging="425"/>
        <w:rPr>
          <w:b/>
          <w:bCs/>
        </w:rPr>
      </w:pPr>
      <w:r w:rsidRPr="00ED6198">
        <w:rPr>
          <w:b/>
          <w:bCs/>
        </w:rPr>
        <w:t>Režim 3</w:t>
      </w:r>
      <w:r w:rsidR="00055EE4" w:rsidRPr="00ED6198">
        <w:rPr>
          <w:b/>
          <w:bCs/>
        </w:rPr>
        <w:t>:</w:t>
      </w:r>
    </w:p>
    <w:p w14:paraId="4D8BEC70" w14:textId="4B530091" w:rsidR="00E9086F" w:rsidRPr="00ED6198" w:rsidRDefault="00E9086F" w:rsidP="00FD39DF">
      <w:pPr>
        <w:pStyle w:val="TPText-1slovan"/>
        <w:numPr>
          <w:ilvl w:val="0"/>
          <w:numId w:val="0"/>
        </w:numPr>
        <w:ind w:left="1701"/>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3011A4A9"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FD39DF">
        <w:t>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w:t>
      </w:r>
      <w:r w:rsidR="00FD39DF">
        <w:t> </w:t>
      </w:r>
      <w:r w:rsidR="00E32E1D" w:rsidRPr="00664159">
        <w:t>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FD39DF">
      <w:pPr>
        <w:pStyle w:val="TPText-2slovan"/>
        <w:numPr>
          <w:ilvl w:val="0"/>
          <w:numId w:val="42"/>
        </w:numPr>
        <w:ind w:left="1701" w:hanging="425"/>
      </w:pPr>
      <w:r w:rsidRPr="00ED6198">
        <w:lastRenderedPageBreak/>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FD39DF">
      <w:pPr>
        <w:pStyle w:val="TPText-2slovan"/>
        <w:numPr>
          <w:ilvl w:val="0"/>
          <w:numId w:val="42"/>
        </w:numPr>
        <w:ind w:left="1701" w:hanging="425"/>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FD39DF">
      <w:pPr>
        <w:pStyle w:val="TPText-2slovan"/>
        <w:numPr>
          <w:ilvl w:val="0"/>
          <w:numId w:val="42"/>
        </w:numPr>
        <w:ind w:left="1701" w:hanging="425"/>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FD39DF">
      <w:pPr>
        <w:pStyle w:val="TPText-1slovan"/>
        <w:numPr>
          <w:ilvl w:val="0"/>
          <w:numId w:val="41"/>
        </w:numPr>
        <w:ind w:left="1701" w:hanging="425"/>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FD39DF">
      <w:pPr>
        <w:pStyle w:val="TPText-1slovan"/>
        <w:numPr>
          <w:ilvl w:val="0"/>
          <w:numId w:val="41"/>
        </w:numPr>
        <w:ind w:left="1701" w:hanging="425"/>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FD39DF">
      <w:pPr>
        <w:pStyle w:val="TPText-1slovan"/>
        <w:numPr>
          <w:ilvl w:val="0"/>
          <w:numId w:val="41"/>
        </w:numPr>
        <w:ind w:left="1701" w:hanging="425"/>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41473678"/>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D39DF">
      <w:pPr>
        <w:pStyle w:val="TPText-1slovan"/>
        <w:numPr>
          <w:ilvl w:val="0"/>
          <w:numId w:val="25"/>
        </w:numPr>
        <w:ind w:left="1701" w:hanging="425"/>
      </w:pPr>
      <w:r w:rsidRPr="00ED6198">
        <w:t>krátký a rámcově výstižný název Incidentu;</w:t>
      </w:r>
    </w:p>
    <w:p w14:paraId="33BD3175" w14:textId="58FE64A7" w:rsidR="001500AE" w:rsidRPr="00ED6198" w:rsidRDefault="001500AE" w:rsidP="00FD39DF">
      <w:pPr>
        <w:pStyle w:val="TPText-1slovan"/>
        <w:numPr>
          <w:ilvl w:val="0"/>
          <w:numId w:val="25"/>
        </w:numPr>
        <w:ind w:left="1701" w:hanging="425"/>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D39DF">
      <w:pPr>
        <w:pStyle w:val="TPText-1slovan"/>
        <w:numPr>
          <w:ilvl w:val="0"/>
          <w:numId w:val="25"/>
        </w:numPr>
        <w:ind w:left="1701" w:hanging="425"/>
      </w:pPr>
      <w:r w:rsidRPr="00ED6198">
        <w:t xml:space="preserve">určení prostředí (Testovací prostředí, Produkční prostředí); </w:t>
      </w:r>
    </w:p>
    <w:p w14:paraId="13FCBEB5" w14:textId="7BAD23AF" w:rsidR="001500AE" w:rsidRPr="00ED6198" w:rsidRDefault="001500AE" w:rsidP="00FD39DF">
      <w:pPr>
        <w:pStyle w:val="TPText-1slovan"/>
        <w:numPr>
          <w:ilvl w:val="0"/>
          <w:numId w:val="25"/>
        </w:numPr>
        <w:ind w:left="1701" w:hanging="425"/>
      </w:pPr>
      <w:r w:rsidRPr="00ED6198">
        <w:t>detailní popis Incidentu, průvodních jevů a všech významných souvisejících informací;</w:t>
      </w:r>
    </w:p>
    <w:p w14:paraId="3C3EE4DD" w14:textId="3DD4D882" w:rsidR="001500AE" w:rsidRPr="00ED6198" w:rsidRDefault="001500AE" w:rsidP="00FD39DF">
      <w:pPr>
        <w:pStyle w:val="TPText-1slovan"/>
        <w:numPr>
          <w:ilvl w:val="0"/>
          <w:numId w:val="25"/>
        </w:numPr>
        <w:ind w:left="1701" w:hanging="425"/>
      </w:pPr>
      <w:r w:rsidRPr="00ED6198">
        <w:t>kategorii Incidentu (A, B, C);</w:t>
      </w:r>
    </w:p>
    <w:p w14:paraId="2932496E" w14:textId="129E8242" w:rsidR="001500AE" w:rsidRPr="00ED6198" w:rsidRDefault="001500AE" w:rsidP="00FD39DF">
      <w:pPr>
        <w:pStyle w:val="TPText-1slovan"/>
        <w:numPr>
          <w:ilvl w:val="0"/>
          <w:numId w:val="25"/>
        </w:numPr>
        <w:ind w:left="1701" w:hanging="425"/>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7F3572C" w:rsidR="002B7DBD" w:rsidRPr="00335BA4" w:rsidRDefault="002B7DBD" w:rsidP="00664159">
      <w:pPr>
        <w:pStyle w:val="TPText-1slovan"/>
      </w:pPr>
      <w:r w:rsidRPr="00335BA4">
        <w:t>Je-li Incident nahlašován zadáním Incidentu do Helpdesku, pak se za Čas nahlášení Incidentu považuje čas vytvoření ticketu v Helpdesku. Je-li Incident nahlašován písemně na e-mailovou adresu, pak se za Čas nahlášení Incidentu považuje čas odeslání e-mailu z</w:t>
      </w:r>
      <w:r w:rsidR="00FD39DF">
        <w:t> </w:t>
      </w:r>
      <w:r w:rsidRPr="00335BA4">
        <w:t>e</w:t>
      </w:r>
      <w:r w:rsidR="00FD39DF">
        <w:noBreakHyphen/>
      </w:r>
      <w:r w:rsidRPr="00335BA4">
        <w:t xml:space="preserv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033B6198"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w:t>
      </w:r>
      <w:r w:rsidR="00FD39DF">
        <w:t> </w:t>
      </w:r>
      <w:r w:rsidRPr="00335BA4">
        <w:t>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41473679"/>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857F0F" w:rsidRPr="00857F0F"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57F0F" w:rsidRPr="006159D9" w:rsidRDefault="00857F0F" w:rsidP="00857F0F">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138DDEC1"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99.5%</w:t>
            </w: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3A2D4FD6"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7x24</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5C9656"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(0-24)</w:t>
            </w: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36005A07"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2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468A90E4"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12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4CE54635"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Následující pracovní den (NBD)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12C32EC2"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NBD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64E5713C"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&lt; 5 min</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57F0F" w:rsidRPr="006159D9" w:rsidRDefault="00857F0F" w:rsidP="00857F0F">
            <w:pPr>
              <w:spacing w:before="120" w:after="120"/>
              <w:jc w:val="both"/>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57F0F" w:rsidRPr="006159D9" w:rsidRDefault="00857F0F" w:rsidP="00857F0F">
            <w:pPr>
              <w:spacing w:before="120" w:after="120"/>
              <w:jc w:val="both"/>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57F0F" w:rsidRPr="006159D9" w:rsidRDefault="00857F0F" w:rsidP="00857F0F">
            <w:pPr>
              <w:spacing w:before="120" w:after="120"/>
              <w:jc w:val="both"/>
              <w:rPr>
                <w:rFonts w:ascii="Verdana" w:hAnsi="Verdana" w:cs="Calibri"/>
                <w:sz w:val="14"/>
                <w:szCs w:val="14"/>
                <w:lang w:eastAsia="cs-CZ"/>
              </w:rPr>
            </w:pPr>
          </w:p>
        </w:tc>
      </w:tr>
      <w:tr w:rsidR="00857F0F"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57F0F" w:rsidRPr="006159D9" w:rsidRDefault="00857F0F" w:rsidP="00857F0F">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57F0F" w:rsidRPr="006159D9" w:rsidRDefault="00857F0F" w:rsidP="00857F0F">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57F0F" w:rsidRPr="006159D9" w:rsidRDefault="00857F0F" w:rsidP="00857F0F">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57F0F" w:rsidRPr="006159D9" w:rsidRDefault="00857F0F" w:rsidP="00857F0F">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57F0F" w:rsidRPr="006159D9" w:rsidRDefault="00857F0F" w:rsidP="00857F0F">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57F0F" w:rsidRPr="006159D9" w:rsidRDefault="00857F0F" w:rsidP="00857F0F">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57F0F" w:rsidRPr="006159D9" w:rsidRDefault="00857F0F" w:rsidP="00857F0F">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57F0F" w:rsidRPr="006159D9" w:rsidRDefault="00857F0F" w:rsidP="00857F0F">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7AD0346C" w:rsidR="0029363B" w:rsidRPr="00335BA4" w:rsidRDefault="009C65B9" w:rsidP="00FD39DF">
      <w:pPr>
        <w:pStyle w:val="TPText-1slovan"/>
        <w:numPr>
          <w:ilvl w:val="0"/>
          <w:numId w:val="59"/>
        </w:numPr>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w:t>
      </w:r>
      <w:r w:rsidR="00FD39DF">
        <w:t> </w:t>
      </w:r>
      <w:r w:rsidR="00A67329" w:rsidRPr="00335BA4">
        <w:t>Dodavatele</w:t>
      </w:r>
      <w:r w:rsidR="00DF19CC" w:rsidRPr="00335BA4">
        <w:t xml:space="preserve"> (odstávka),</w:t>
      </w:r>
    </w:p>
    <w:p w14:paraId="0C8FB3CA" w14:textId="25635E1C" w:rsidR="00DF19CC" w:rsidRPr="00335BA4" w:rsidRDefault="009C65B9" w:rsidP="00FD39DF">
      <w:pPr>
        <w:pStyle w:val="TPText-1slovan"/>
        <w:numPr>
          <w:ilvl w:val="0"/>
          <w:numId w:val="59"/>
        </w:numPr>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FD39DF">
      <w:pPr>
        <w:pStyle w:val="TPText-1slovan"/>
        <w:numPr>
          <w:ilvl w:val="0"/>
          <w:numId w:val="59"/>
        </w:numPr>
      </w:pPr>
      <w:r w:rsidRPr="00335BA4">
        <w:t>smluvními stranami předem dohodnutý časový úsek za účelem instalace upgrad</w:t>
      </w:r>
      <w:r w:rsidR="003C7F34">
        <w:t>u</w:t>
      </w:r>
      <w:r w:rsidRPr="00335BA4">
        <w:t>,</w:t>
      </w:r>
    </w:p>
    <w:p w14:paraId="34F170FF" w14:textId="198BBB73" w:rsidR="00D6195A" w:rsidRPr="00335BA4" w:rsidRDefault="00D6195A" w:rsidP="00FD39DF">
      <w:pPr>
        <w:pStyle w:val="TPText-1slovan"/>
        <w:numPr>
          <w:ilvl w:val="0"/>
          <w:numId w:val="59"/>
        </w:numPr>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36B7423B"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w:t>
      </w:r>
      <w:r w:rsidR="00FD39DF">
        <w:t>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lastRenderedPageBreak/>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41473680"/>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2726AD45"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w:t>
      </w:r>
      <w:r w:rsidR="00FD39DF">
        <w:t> </w:t>
      </w:r>
      <w:r w:rsidRPr="00335BA4">
        <w:t>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41473681"/>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0174F05C"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w:t>
      </w:r>
      <w:r w:rsidR="00FD39DF">
        <w:t> </w:t>
      </w:r>
      <w:r w:rsidR="00905DB0" w:rsidRPr="00ED6198">
        <w:t>v</w:t>
      </w:r>
      <w:r w:rsidR="00FD39DF">
        <w:t> </w:t>
      </w:r>
      <w:r w:rsidR="00905DB0" w:rsidRPr="00ED6198">
        <w:t xml:space="preserve">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41473682"/>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w:t>
      </w:r>
      <w:r w:rsidR="00D8347D" w:rsidRPr="00335BA4">
        <w:lastRenderedPageBreak/>
        <w:t xml:space="preserve">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707A5FDB"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8E13A7">
        <w:noBreakHyphen/>
      </w:r>
      <w:r w:rsidRPr="00ED6198">
        <w:t xml:space="preserve">mailovou adresu příslušné </w:t>
      </w:r>
      <w:r w:rsidR="00E75766" w:rsidRPr="00ED6198">
        <w:t>k</w:t>
      </w:r>
      <w:r w:rsidRPr="00ED6198">
        <w:t>ontaktní osoby, prostřednictvím datové zprávy zaslané v</w:t>
      </w:r>
      <w:r w:rsidR="008E13A7">
        <w:t> </w:t>
      </w:r>
      <w:r w:rsidRPr="00ED6198">
        <w:t>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41473683"/>
      <w:bookmarkEnd w:id="106"/>
      <w:r w:rsidRPr="00ED6198">
        <w:t>Smluvní pokuty</w:t>
      </w:r>
      <w:bookmarkEnd w:id="107"/>
    </w:p>
    <w:p w14:paraId="16973C90" w14:textId="195BC8B9"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8E13A7">
        <w:t> </w:t>
      </w:r>
      <w:r w:rsidR="00331774" w:rsidRPr="00335BA4">
        <w:t>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8E13A7">
      <w:pPr>
        <w:pStyle w:val="TPText-1slovan"/>
        <w:numPr>
          <w:ilvl w:val="0"/>
          <w:numId w:val="26"/>
        </w:numPr>
        <w:ind w:left="1701" w:hanging="425"/>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17186DF8" w:rsidR="00331774" w:rsidRPr="00335BA4" w:rsidRDefault="00331774" w:rsidP="008E13A7">
      <w:pPr>
        <w:pStyle w:val="TPText-1slovan"/>
        <w:numPr>
          <w:ilvl w:val="0"/>
          <w:numId w:val="26"/>
        </w:numPr>
        <w:ind w:left="1701" w:hanging="425"/>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w:t>
      </w:r>
      <w:r w:rsidR="008E13A7">
        <w:t> </w:t>
      </w:r>
      <w:r w:rsidRPr="00335BA4">
        <w:t>čl.</w:t>
      </w:r>
      <w:r w:rsidR="008E13A7">
        <w:t>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8E13A7">
      <w:pPr>
        <w:pStyle w:val="TPText-1slovan"/>
        <w:numPr>
          <w:ilvl w:val="0"/>
          <w:numId w:val="26"/>
        </w:numPr>
        <w:ind w:left="1701" w:hanging="425"/>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5193A895" w:rsidR="00724302" w:rsidRPr="00335BA4" w:rsidRDefault="00D17442" w:rsidP="008E13A7">
      <w:pPr>
        <w:pStyle w:val="TPText-1slovan"/>
        <w:numPr>
          <w:ilvl w:val="0"/>
          <w:numId w:val="26"/>
        </w:numPr>
        <w:ind w:left="1701" w:hanging="425"/>
      </w:pPr>
      <w:r w:rsidRPr="00335BA4">
        <w:t xml:space="preserve">poruší-li </w:t>
      </w:r>
      <w:r w:rsidR="001F6504" w:rsidRPr="00335BA4">
        <w:t xml:space="preserve">Dodavatel </w:t>
      </w:r>
      <w:r w:rsidRPr="00335BA4">
        <w:t>povinnost řádně a včas předat Objednateli Zdrojový kód a</w:t>
      </w:r>
      <w:r w:rsidR="008E13A7">
        <w:t> </w:t>
      </w:r>
      <w:r w:rsidRPr="00335BA4">
        <w:t>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8E13A7">
      <w:pPr>
        <w:pStyle w:val="TPText-1slovan"/>
        <w:numPr>
          <w:ilvl w:val="0"/>
          <w:numId w:val="26"/>
        </w:numPr>
        <w:ind w:left="1701" w:hanging="425"/>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8E13A7">
      <w:pPr>
        <w:pStyle w:val="TPText-1slovan"/>
        <w:numPr>
          <w:ilvl w:val="0"/>
          <w:numId w:val="26"/>
        </w:numPr>
        <w:ind w:left="1701" w:hanging="425"/>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8E13A7">
      <w:pPr>
        <w:pStyle w:val="TPText-1slovan"/>
        <w:numPr>
          <w:ilvl w:val="0"/>
          <w:numId w:val="27"/>
        </w:numPr>
        <w:ind w:left="2552" w:hanging="567"/>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8E13A7">
      <w:pPr>
        <w:pStyle w:val="TPText-1slovan"/>
        <w:numPr>
          <w:ilvl w:val="0"/>
          <w:numId w:val="27"/>
        </w:numPr>
        <w:ind w:left="2552" w:hanging="567"/>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8E13A7">
      <w:pPr>
        <w:pStyle w:val="TPText-1slovan"/>
        <w:numPr>
          <w:ilvl w:val="0"/>
          <w:numId w:val="27"/>
        </w:numPr>
        <w:ind w:left="2552" w:hanging="567"/>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8E13A7">
      <w:pPr>
        <w:pStyle w:val="TPText-1slovan"/>
        <w:numPr>
          <w:ilvl w:val="0"/>
          <w:numId w:val="26"/>
        </w:numPr>
        <w:ind w:left="1701" w:hanging="425"/>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8E13A7">
      <w:pPr>
        <w:pStyle w:val="TPText-1slovan"/>
        <w:numPr>
          <w:ilvl w:val="0"/>
          <w:numId w:val="44"/>
        </w:numPr>
        <w:ind w:left="2552" w:hanging="567"/>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8E13A7">
      <w:pPr>
        <w:pStyle w:val="TPText-1slovan"/>
        <w:numPr>
          <w:ilvl w:val="0"/>
          <w:numId w:val="44"/>
        </w:numPr>
        <w:ind w:left="2552" w:hanging="567"/>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8E13A7">
      <w:pPr>
        <w:pStyle w:val="TPText-1slovan"/>
        <w:numPr>
          <w:ilvl w:val="0"/>
          <w:numId w:val="44"/>
        </w:numPr>
        <w:ind w:left="2552" w:hanging="567"/>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8E13A7">
      <w:pPr>
        <w:pStyle w:val="TPText-1slovan"/>
        <w:numPr>
          <w:ilvl w:val="0"/>
          <w:numId w:val="26"/>
        </w:numPr>
        <w:ind w:left="1701" w:hanging="425"/>
      </w:pPr>
      <w:r w:rsidRPr="00335BA4">
        <w:t xml:space="preserve">v případě prodlení nad rámec sjednané lhůty pro odstranění vad v Testovacím prostředí: </w:t>
      </w:r>
    </w:p>
    <w:p w14:paraId="68CB871A" w14:textId="4490D00E" w:rsidR="0000199B" w:rsidRPr="00335BA4" w:rsidRDefault="0000199B" w:rsidP="008E13A7">
      <w:pPr>
        <w:pStyle w:val="TPText-1slovan"/>
        <w:numPr>
          <w:ilvl w:val="0"/>
          <w:numId w:val="28"/>
        </w:numPr>
        <w:ind w:left="2552" w:hanging="567"/>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8E13A7">
      <w:pPr>
        <w:pStyle w:val="TPText-1slovan"/>
        <w:numPr>
          <w:ilvl w:val="0"/>
          <w:numId w:val="28"/>
        </w:numPr>
        <w:ind w:left="2552" w:hanging="567"/>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8E13A7">
      <w:pPr>
        <w:pStyle w:val="TPText-1slovan"/>
        <w:numPr>
          <w:ilvl w:val="0"/>
          <w:numId w:val="26"/>
        </w:numPr>
        <w:ind w:left="1701" w:hanging="425"/>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0E7B3F">
      <w:pPr>
        <w:pStyle w:val="TPText-1slovan"/>
        <w:numPr>
          <w:ilvl w:val="0"/>
          <w:numId w:val="26"/>
        </w:numPr>
        <w:ind w:left="1701" w:hanging="425"/>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0E7B3F">
      <w:pPr>
        <w:pStyle w:val="TPText-1slovan"/>
        <w:numPr>
          <w:ilvl w:val="0"/>
          <w:numId w:val="26"/>
        </w:numPr>
        <w:ind w:left="1701" w:hanging="425"/>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0E7B3F">
      <w:pPr>
        <w:pStyle w:val="TPText-1slovan"/>
        <w:numPr>
          <w:ilvl w:val="0"/>
          <w:numId w:val="26"/>
        </w:numPr>
        <w:ind w:left="1701" w:hanging="425"/>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0E7B3F">
      <w:pPr>
        <w:pStyle w:val="TPText-1slovan"/>
        <w:numPr>
          <w:ilvl w:val="0"/>
          <w:numId w:val="26"/>
        </w:numPr>
        <w:ind w:left="1701" w:hanging="425"/>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6021790F" w:rsidR="00C70F14" w:rsidRPr="00ED6198" w:rsidRDefault="005B1F90" w:rsidP="000E7B3F">
      <w:pPr>
        <w:pStyle w:val="TPText-1slovan"/>
        <w:numPr>
          <w:ilvl w:val="0"/>
          <w:numId w:val="26"/>
        </w:numPr>
        <w:ind w:left="1701" w:hanging="425"/>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w:t>
      </w:r>
      <w:r w:rsidR="000E7B3F">
        <w:t> </w:t>
      </w:r>
      <w:r w:rsidR="007A6155" w:rsidRPr="00ED6198">
        <w:t>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41473684"/>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0E7B3F">
      <w:pPr>
        <w:pStyle w:val="TPText-2slovan"/>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0E7B3F">
      <w:pPr>
        <w:pStyle w:val="TPText-2slovan"/>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25097D01" w:rsidR="00F75A5B" w:rsidRPr="00ED6198" w:rsidRDefault="00F75A5B" w:rsidP="000E7B3F">
      <w:pPr>
        <w:pStyle w:val="TPText-2slovan"/>
      </w:pPr>
      <w:r w:rsidRPr="00ED6198">
        <w:t>Dodavatel odpovídá za vady zjevné, skryté i právní, které měl výstup provádění Plnění v době akceptace Objednatelem, a dále za ty, které se na něm vyskytnou v</w:t>
      </w:r>
      <w:r w:rsidR="000E7B3F">
        <w:t> </w:t>
      </w:r>
      <w:r w:rsidRPr="00ED6198">
        <w:t>záruční době, a zavazuje se, vedle dalších nároků Objednatele, je bezplatně odstranit.</w:t>
      </w:r>
    </w:p>
    <w:p w14:paraId="4949DC24" w14:textId="78246909" w:rsidR="006C6152" w:rsidRPr="00ED6198" w:rsidRDefault="006C6152" w:rsidP="000E7B3F">
      <w:pPr>
        <w:pStyle w:val="TPText-2slovan"/>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0E7B3F">
      <w:pPr>
        <w:pStyle w:val="TPText-2slovan"/>
      </w:pPr>
      <w:r w:rsidRPr="00ED6198">
        <w:lastRenderedPageBreak/>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0E7B3F">
      <w:pPr>
        <w:pStyle w:val="TPText-2slovan"/>
      </w:pPr>
      <w:bookmarkStart w:id="116" w:name="_Hlk118204552"/>
      <w:r w:rsidRPr="00335BA4">
        <w:t>Dodavatel neodpovídá za vady Plnění vzniklé:</w:t>
      </w:r>
    </w:p>
    <w:p w14:paraId="55BC2642" w14:textId="3EA55611" w:rsidR="00BC2A6A" w:rsidRPr="00335BA4" w:rsidRDefault="00BC2A6A" w:rsidP="000E7B3F">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0E7B3F">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rsidP="000E7B3F">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0E7B3F">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0E7B3F">
      <w:pPr>
        <w:pStyle w:val="TPText-2slovan"/>
        <w:numPr>
          <w:ilvl w:val="2"/>
          <w:numId w:val="65"/>
        </w:numPr>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0E7B3F">
      <w:pPr>
        <w:pStyle w:val="TPText-2slovan"/>
        <w:numPr>
          <w:ilvl w:val="2"/>
          <w:numId w:val="65"/>
        </w:numPr>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0E7B3F">
      <w:pPr>
        <w:pStyle w:val="TPText-1slovan"/>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0E7B3F">
      <w:pPr>
        <w:pStyle w:val="TPText-1slovan"/>
        <w:numPr>
          <w:ilvl w:val="0"/>
          <w:numId w:val="0"/>
        </w:numPr>
        <w:ind w:left="1416" w:hanging="681"/>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0E7B3F">
      <w:pPr>
        <w:pStyle w:val="TPText-1slovan"/>
        <w:numPr>
          <w:ilvl w:val="0"/>
          <w:numId w:val="0"/>
        </w:numPr>
        <w:ind w:left="1416" w:hanging="681"/>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0E7B3F">
      <w:pPr>
        <w:pStyle w:val="TPText-1slovan"/>
        <w:numPr>
          <w:ilvl w:val="0"/>
          <w:numId w:val="0"/>
        </w:numPr>
        <w:ind w:left="4248" w:hanging="2838"/>
      </w:pPr>
      <w:r w:rsidRPr="00ED6198">
        <w:t>Kategorie vady</w:t>
      </w:r>
      <w:r w:rsidRPr="00ED6198">
        <w:tab/>
        <w:t>Lhůta k odstranění počítaná od nahlášení vady Objednatelem</w:t>
      </w:r>
    </w:p>
    <w:p w14:paraId="2D230EFB" w14:textId="233761F4" w:rsidR="00F75A5B" w:rsidRPr="00ED6198" w:rsidRDefault="00F75A5B" w:rsidP="000E7B3F">
      <w:pPr>
        <w:pStyle w:val="TPText-1slovan"/>
        <w:numPr>
          <w:ilvl w:val="0"/>
          <w:numId w:val="0"/>
        </w:numPr>
        <w:ind w:left="1416" w:hanging="681"/>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0E7B3F">
      <w:pPr>
        <w:pStyle w:val="TPText-1slovan"/>
        <w:numPr>
          <w:ilvl w:val="0"/>
          <w:numId w:val="0"/>
        </w:numPr>
        <w:ind w:left="1416" w:hanging="681"/>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0E7B3F">
      <w:pPr>
        <w:pStyle w:val="TPText-1slovan"/>
        <w:numPr>
          <w:ilvl w:val="0"/>
          <w:numId w:val="0"/>
        </w:numPr>
        <w:ind w:left="1416"/>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0E7B3F">
      <w:pPr>
        <w:pStyle w:val="TPText-2slovan"/>
        <w:numPr>
          <w:ilvl w:val="2"/>
          <w:numId w:val="66"/>
        </w:numPr>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33D4D539" w:rsidR="00ED61F0" w:rsidRPr="00E4337D" w:rsidRDefault="00ED61F0" w:rsidP="000E7B3F">
      <w:pPr>
        <w:pStyle w:val="TPText-2slovan"/>
        <w:numPr>
          <w:ilvl w:val="2"/>
          <w:numId w:val="66"/>
        </w:numPr>
      </w:pPr>
      <w:r w:rsidRPr="00E4337D">
        <w:t>Zjevné vady Hardware a dalších hmotných věcí je Objednatel povinen u</w:t>
      </w:r>
      <w:r w:rsidR="000E7B3F">
        <w:t> </w:t>
      </w:r>
      <w:r w:rsidRPr="00E4337D">
        <w:t>Dodavatele reklamovat v rámci Akceptačního řízení. V případě, že Objednatel zjistí vady hmotných věcí po akceptaci, je povinen tyto vady bez zbytečného odkladu reklamovat u Dodavatele.</w:t>
      </w:r>
    </w:p>
    <w:p w14:paraId="7AAA708A" w14:textId="59330A89" w:rsidR="00ED61F0" w:rsidRPr="00E4337D" w:rsidRDefault="00ED61F0" w:rsidP="000E7B3F">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w:t>
      </w:r>
      <w:r w:rsidR="000E7B3F">
        <w:noBreakHyphen/>
      </w:r>
      <w:r w:rsidRPr="00E4337D">
        <w:t>li se Strany jinak.</w:t>
      </w:r>
    </w:p>
    <w:p w14:paraId="790DC81D" w14:textId="432551F8" w:rsidR="00F52786" w:rsidRPr="00ED6198" w:rsidRDefault="001413EE" w:rsidP="00F07A3F">
      <w:pPr>
        <w:pStyle w:val="TPNADPIS-1slovan"/>
        <w:jc w:val="both"/>
      </w:pPr>
      <w:bookmarkStart w:id="117" w:name="_Toc141473685"/>
      <w:r w:rsidRPr="00ED6198">
        <w:lastRenderedPageBreak/>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0E7B3F">
      <w:pPr>
        <w:pStyle w:val="TPText-1slovan"/>
        <w:numPr>
          <w:ilvl w:val="0"/>
          <w:numId w:val="29"/>
        </w:numPr>
        <w:ind w:left="1701" w:hanging="425"/>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0E7B3F">
      <w:pPr>
        <w:pStyle w:val="TPText-1slovan"/>
        <w:numPr>
          <w:ilvl w:val="0"/>
          <w:numId w:val="29"/>
        </w:numPr>
        <w:ind w:left="1701" w:hanging="425"/>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0E7B3F">
      <w:pPr>
        <w:pStyle w:val="TPText-1slovan"/>
        <w:numPr>
          <w:ilvl w:val="0"/>
          <w:numId w:val="29"/>
        </w:numPr>
        <w:ind w:left="1701" w:hanging="425"/>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0E7B3F">
      <w:pPr>
        <w:pStyle w:val="TPText-1slovan"/>
      </w:pPr>
      <w:bookmarkStart w:id="118" w:name="_Ref115692306"/>
      <w:r w:rsidRPr="00ED6198">
        <w:t>Objednatel je oprávněn odstoupit od Smlouvy, v případě, že:</w:t>
      </w:r>
      <w:bookmarkEnd w:id="118"/>
      <w:r w:rsidRPr="00ED6198">
        <w:t xml:space="preserve"> </w:t>
      </w:r>
    </w:p>
    <w:p w14:paraId="7DE1DA04" w14:textId="598FD3FF" w:rsidR="008F46D1" w:rsidRPr="00ED6198" w:rsidRDefault="00440523" w:rsidP="000E7B3F">
      <w:pPr>
        <w:pStyle w:val="TPText-1slovan"/>
        <w:numPr>
          <w:ilvl w:val="0"/>
          <w:numId w:val="30"/>
        </w:numPr>
        <w:ind w:left="1701" w:hanging="425"/>
      </w:pPr>
      <w:r w:rsidRPr="00ED6198">
        <w:t xml:space="preserve">Dodavatel </w:t>
      </w:r>
      <w:r w:rsidR="008F46D1" w:rsidRPr="00ED6198">
        <w:t>je v prodlení s</w:t>
      </w:r>
      <w:r w:rsidR="00AF3B65" w:rsidRPr="00ED6198">
        <w:t> plněním dle Smlouvy či jakékoliv části Plnění déle než 30</w:t>
      </w:r>
      <w:r w:rsidR="00727B9E">
        <w:t>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0E7B3F">
      <w:pPr>
        <w:pStyle w:val="TPText-1slovan"/>
        <w:numPr>
          <w:ilvl w:val="0"/>
          <w:numId w:val="30"/>
        </w:numPr>
        <w:ind w:left="1701" w:hanging="425"/>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0E7B3F">
      <w:pPr>
        <w:pStyle w:val="TPText-1slovan"/>
        <w:numPr>
          <w:ilvl w:val="0"/>
          <w:numId w:val="30"/>
        </w:numPr>
        <w:ind w:left="1701" w:hanging="425"/>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0E7B3F">
      <w:pPr>
        <w:pStyle w:val="TPText-1slovan"/>
        <w:numPr>
          <w:ilvl w:val="0"/>
          <w:numId w:val="31"/>
        </w:numPr>
        <w:ind w:left="2552" w:hanging="567"/>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0E7B3F">
      <w:pPr>
        <w:pStyle w:val="TPText-1slovan"/>
        <w:numPr>
          <w:ilvl w:val="0"/>
          <w:numId w:val="31"/>
        </w:numPr>
        <w:ind w:left="2552" w:hanging="567"/>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0E7B3F">
      <w:pPr>
        <w:pStyle w:val="TPText-1slovan"/>
        <w:numPr>
          <w:ilvl w:val="0"/>
          <w:numId w:val="31"/>
        </w:numPr>
        <w:ind w:left="2552" w:hanging="567"/>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0E7B3F">
      <w:pPr>
        <w:pStyle w:val="TPText-1slovan"/>
        <w:numPr>
          <w:ilvl w:val="0"/>
          <w:numId w:val="31"/>
        </w:numPr>
        <w:ind w:left="2552" w:hanging="567"/>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0E7B3F">
      <w:pPr>
        <w:pStyle w:val="TPText-1slovan"/>
        <w:numPr>
          <w:ilvl w:val="0"/>
          <w:numId w:val="30"/>
        </w:numPr>
        <w:ind w:left="1701" w:hanging="425"/>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7A49E15C" w:rsidR="000754A5" w:rsidRPr="00ED6198" w:rsidRDefault="000754A5" w:rsidP="000E7B3F">
      <w:pPr>
        <w:pStyle w:val="TPText-1slovan"/>
        <w:numPr>
          <w:ilvl w:val="0"/>
          <w:numId w:val="30"/>
        </w:numPr>
        <w:ind w:left="1701" w:hanging="425"/>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w:t>
      </w:r>
      <w:r w:rsidR="00727B9E">
        <w:t>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125FA4EA" w:rsidR="0084219A" w:rsidRPr="00ED6198" w:rsidRDefault="00412AE4" w:rsidP="000E7B3F">
      <w:pPr>
        <w:pStyle w:val="TPText-1slovan"/>
        <w:numPr>
          <w:ilvl w:val="0"/>
          <w:numId w:val="30"/>
        </w:numPr>
        <w:ind w:left="1701" w:hanging="425"/>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tele do šesti</w:t>
      </w:r>
      <w:r w:rsidR="00727B9E">
        <w:t> </w:t>
      </w:r>
      <w:r w:rsidR="0084219A" w:rsidRPr="00ED6198">
        <w:t>(6)</w:t>
      </w:r>
      <w:r w:rsidR="00727B9E">
        <w:t> </w:t>
      </w:r>
      <w:r w:rsidR="0084219A" w:rsidRPr="00ED6198">
        <w:t>měsíců od zahájení insolvenčního řízení, nebo insolvenční soud vydá rozhodnutí o</w:t>
      </w:r>
      <w:r w:rsidR="00727B9E">
        <w:t> </w:t>
      </w:r>
      <w:r w:rsidR="0084219A" w:rsidRPr="00ED6198">
        <w:t xml:space="preserve">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0E7B3F">
      <w:pPr>
        <w:pStyle w:val="TPText-1slovan"/>
        <w:numPr>
          <w:ilvl w:val="0"/>
          <w:numId w:val="30"/>
        </w:numPr>
        <w:ind w:left="1701" w:hanging="425"/>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0E7B3F">
      <w:pPr>
        <w:pStyle w:val="TPText-1slovan"/>
        <w:numPr>
          <w:ilvl w:val="0"/>
          <w:numId w:val="30"/>
        </w:numPr>
        <w:ind w:left="1701" w:hanging="425"/>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0E7B3F">
      <w:pPr>
        <w:pStyle w:val="TPText-1slovan"/>
        <w:numPr>
          <w:ilvl w:val="0"/>
          <w:numId w:val="30"/>
        </w:numPr>
        <w:ind w:left="1701" w:hanging="425"/>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0E7B3F">
      <w:pPr>
        <w:pStyle w:val="TPText-1slovan"/>
        <w:numPr>
          <w:ilvl w:val="0"/>
          <w:numId w:val="30"/>
        </w:numPr>
        <w:ind w:left="1701" w:hanging="425"/>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0E7B3F">
      <w:pPr>
        <w:pStyle w:val="TPText-1slovan"/>
        <w:numPr>
          <w:ilvl w:val="0"/>
          <w:numId w:val="30"/>
        </w:numPr>
        <w:ind w:left="1701" w:hanging="425"/>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0E7B3F">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32FEFF9E" w:rsidR="00A83885" w:rsidRPr="00ED6198" w:rsidRDefault="00A83885" w:rsidP="000E7B3F">
      <w:pPr>
        <w:pStyle w:val="TPText-1slovan"/>
        <w:numPr>
          <w:ilvl w:val="0"/>
          <w:numId w:val="47"/>
        </w:numPr>
        <w:ind w:left="1701" w:hanging="425"/>
      </w:pPr>
      <w:r w:rsidRPr="00ED6198">
        <w:lastRenderedPageBreak/>
        <w:t xml:space="preserve">Objednatel nezaplatil jakoukoli dlužnou částku za </w:t>
      </w:r>
      <w:r w:rsidR="007405D7" w:rsidRPr="00ED6198">
        <w:t>P</w:t>
      </w:r>
      <w:r w:rsidR="00097553" w:rsidRPr="00ED6198">
        <w:t>lnění</w:t>
      </w:r>
      <w:r w:rsidRPr="00ED6198">
        <w:t xml:space="preserve"> dle Smlouvy řádně a včas a</w:t>
      </w:r>
      <w:r w:rsidR="00D05326">
        <w:t> </w:t>
      </w:r>
      <w:r w:rsidRPr="00ED6198">
        <w:t xml:space="preserve">toto porušení nenapravil ani do </w:t>
      </w:r>
      <w:r w:rsidR="00097553" w:rsidRPr="00ED6198">
        <w:t xml:space="preserve">60 dnů </w:t>
      </w:r>
      <w:r w:rsidR="005A558D" w:rsidRPr="00ED6198">
        <w:t xml:space="preserve">ode dne obdržení písemné výzvy k nápravě; nebo </w:t>
      </w:r>
    </w:p>
    <w:p w14:paraId="2FC18094" w14:textId="70AD5A07" w:rsidR="00A83885" w:rsidRPr="00ED6198" w:rsidRDefault="005A558D" w:rsidP="000E7B3F">
      <w:pPr>
        <w:pStyle w:val="TPText-1slovan"/>
        <w:numPr>
          <w:ilvl w:val="0"/>
          <w:numId w:val="47"/>
        </w:numPr>
        <w:ind w:left="1701" w:hanging="425"/>
      </w:pPr>
      <w:r w:rsidRPr="00ED6198">
        <w:t>Objednatel poruší jinou povinnost dle Smlouvy podstatným způsobem a ve lhůtě</w:t>
      </w:r>
      <w:r w:rsidR="00097553" w:rsidRPr="00ED6198">
        <w:t xml:space="preserve"> 60</w:t>
      </w:r>
      <w:r w:rsidR="00D05326">
        <w:t> </w:t>
      </w:r>
      <w:r w:rsidR="00097553" w:rsidRPr="00ED6198">
        <w:t xml:space="preserve">dnů </w:t>
      </w:r>
      <w:r w:rsidRPr="00ED6198">
        <w:t xml:space="preserve">ode dne obdržení písemné výzvy k nápravě toto své porušení nenapraví. </w:t>
      </w:r>
    </w:p>
    <w:p w14:paraId="61AF084E" w14:textId="3154BA60" w:rsidR="003A60F1" w:rsidRPr="00ED6198" w:rsidRDefault="00412AE4" w:rsidP="000E7B3F">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0E7B3F">
      <w:pPr>
        <w:pStyle w:val="TPNADPIS-1slovan"/>
      </w:pPr>
      <w:bookmarkStart w:id="119" w:name="_Toc141473686"/>
      <w:r w:rsidRPr="00ED6198">
        <w:t>Změny smlouvy a změnové řízení</w:t>
      </w:r>
      <w:bookmarkEnd w:id="119"/>
    </w:p>
    <w:p w14:paraId="47CF386F" w14:textId="1A7EC5BA" w:rsidR="0085302D" w:rsidRPr="00ED6198" w:rsidRDefault="0085302D" w:rsidP="000E7B3F">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0E7B3F">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0E7B3F">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0E7B3F">
      <w:pPr>
        <w:pStyle w:val="TPNADPIS-1slovan"/>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41473687"/>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29CDA58B" w:rsidR="00AD6A94" w:rsidRPr="00332EAF" w:rsidRDefault="001C63B2" w:rsidP="000E7B3F">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w:t>
      </w:r>
      <w:r w:rsidR="00D05326">
        <w:t>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1B706009" w:rsidR="00B4635B" w:rsidRPr="00332EAF" w:rsidRDefault="00004AE2" w:rsidP="000E7B3F">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w:t>
      </w:r>
      <w:r w:rsidR="00D05326">
        <w:t> </w:t>
      </w:r>
      <w:r w:rsidR="005F5BE3" w:rsidRPr="00332EAF">
        <w:t xml:space="preserve">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D05326">
        <w:t> </w:t>
      </w:r>
      <w:r w:rsidR="008278E0" w:rsidRPr="00332EAF">
        <w:t xml:space="preserve">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0E7B3F">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6A2F7087" w:rsidR="00476758" w:rsidRPr="0041021B" w:rsidRDefault="0092722D" w:rsidP="000E7B3F">
      <w:pPr>
        <w:pStyle w:val="TPText-1slovan"/>
      </w:pPr>
      <w:r w:rsidRPr="0041021B">
        <w:t xml:space="preserve">Není-li ve Smlouvě ujednáno jinak, je </w:t>
      </w:r>
      <w:r w:rsidR="005276BF" w:rsidRPr="0041021B">
        <w:t>Dodavatel povinen vytvořit, pravidelně aktualizovat a</w:t>
      </w:r>
      <w:r w:rsidR="00D05326">
        <w:t>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1F64AA4F" w:rsidR="002D4FC9" w:rsidRPr="00335BA4" w:rsidRDefault="00760613" w:rsidP="000E7B3F">
      <w:pPr>
        <w:pStyle w:val="TPText-1slovan"/>
        <w:numPr>
          <w:ilvl w:val="0"/>
          <w:numId w:val="34"/>
        </w:numPr>
        <w:ind w:left="1701" w:hanging="425"/>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w:t>
      </w:r>
      <w:r w:rsidRPr="00335BA4">
        <w:lastRenderedPageBreak/>
        <w:t xml:space="preserve">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aby bylo možné jednoznačně určit uživatele, čas a</w:t>
      </w:r>
      <w:r w:rsidR="00D05326">
        <w:t> </w:t>
      </w:r>
      <w:r w:rsidR="00B84F81" w:rsidRPr="00A43055">
        <w:t xml:space="preserve">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36942809" w:rsidR="00DF4C0B" w:rsidRDefault="00476758" w:rsidP="000E7B3F">
      <w:pPr>
        <w:pStyle w:val="TPText-1slovan"/>
        <w:numPr>
          <w:ilvl w:val="0"/>
          <w:numId w:val="34"/>
        </w:numPr>
        <w:ind w:left="1701" w:hanging="425"/>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incidentů obsahující činnosti, role, odpovědnosti a pravomoci k</w:t>
      </w:r>
      <w:r w:rsidR="00D05326">
        <w:t> </w:t>
      </w:r>
      <w:r w:rsidRPr="00335BA4">
        <w:t xml:space="preserve">rychlému a účinnému zvládání </w:t>
      </w:r>
      <w:r w:rsidR="00477794" w:rsidRPr="00335BA4">
        <w:t xml:space="preserve">Kybernetických </w:t>
      </w:r>
      <w:r w:rsidRPr="00335BA4">
        <w:t>bezpečnostních událostí a</w:t>
      </w:r>
      <w:r w:rsidR="00D05326">
        <w:t> </w:t>
      </w:r>
      <w:r w:rsidR="002D4FC9" w:rsidRPr="00335BA4">
        <w:t xml:space="preserve">Kybernetických bezpečnostních </w:t>
      </w:r>
      <w:r w:rsidRPr="00335BA4">
        <w:t>incidentů.</w:t>
      </w:r>
    </w:p>
    <w:p w14:paraId="133A5258" w14:textId="39FDEFC3" w:rsidR="0062446E" w:rsidRPr="00780D30" w:rsidRDefault="00C20D2F" w:rsidP="000E7B3F">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w:t>
      </w:r>
      <w:r w:rsidR="00D05326">
        <w:t> </w:t>
      </w:r>
      <w:r w:rsidR="00840A9E" w:rsidRPr="00780D30">
        <w:t>změnách</w:t>
      </w:r>
      <w:r w:rsidR="00637287" w:rsidRPr="00780D30">
        <w:t>.</w:t>
      </w:r>
    </w:p>
    <w:p w14:paraId="5648E57E" w14:textId="507EF6DB" w:rsidR="00004AE2" w:rsidRPr="00332EAF" w:rsidRDefault="00004AE2" w:rsidP="000E7B3F">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w:t>
      </w:r>
      <w:r w:rsidR="00D05326">
        <w:t> </w:t>
      </w:r>
      <w:r w:rsidRPr="00332EAF">
        <w:t xml:space="preserve">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incidentu, a</w:t>
      </w:r>
      <w:r w:rsidR="00D05326">
        <w:t> </w:t>
      </w:r>
      <w:r w:rsidR="00015148" w:rsidRPr="00332EAF">
        <w:t xml:space="preserve">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0E7B3F">
      <w:pPr>
        <w:pStyle w:val="TPText-1slovan"/>
        <w:numPr>
          <w:ilvl w:val="0"/>
          <w:numId w:val="48"/>
        </w:numPr>
        <w:ind w:left="1701" w:hanging="425"/>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0E7B3F">
      <w:pPr>
        <w:pStyle w:val="TPText-1slovan"/>
        <w:numPr>
          <w:ilvl w:val="0"/>
          <w:numId w:val="48"/>
        </w:numPr>
        <w:ind w:left="1701" w:hanging="425"/>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0E7B3F">
      <w:pPr>
        <w:pStyle w:val="TPText-1slovan"/>
        <w:numPr>
          <w:ilvl w:val="0"/>
          <w:numId w:val="48"/>
        </w:numPr>
        <w:ind w:left="1701" w:hanging="425"/>
      </w:pPr>
      <w:r w:rsidRPr="00335BA4">
        <w:t>ohlášením do Helpdesk</w:t>
      </w:r>
      <w:r w:rsidR="001B096A" w:rsidRPr="00335BA4">
        <w:t>u</w:t>
      </w:r>
      <w:r w:rsidRPr="00335BA4">
        <w:t xml:space="preserve"> Objednatele.</w:t>
      </w:r>
    </w:p>
    <w:p w14:paraId="66C3C539" w14:textId="3275BCD4" w:rsidR="00004AE2" w:rsidRPr="00335BA4" w:rsidRDefault="00004AE2" w:rsidP="000E7B3F">
      <w:pPr>
        <w:pStyle w:val="TPText-1slovan"/>
      </w:pPr>
      <w:r w:rsidRPr="00335BA4">
        <w:t>Dodavatel je povinen pravidelně alespoň čtvrtletně předkládat Objednateli zprávu o počtu a</w:t>
      </w:r>
      <w:r w:rsidR="00D05326">
        <w:t> </w:t>
      </w:r>
      <w:r w:rsidRPr="00335BA4">
        <w:t xml:space="preserve">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78F838E" w:rsidR="00004AE2" w:rsidRDefault="00004AE2" w:rsidP="000E7B3F">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w:t>
      </w:r>
      <w:r w:rsidR="00D05326">
        <w:t> </w:t>
      </w:r>
      <w:r w:rsidRPr="00335BA4">
        <w:t>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0E7B3F">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0E7B3F">
      <w:pPr>
        <w:pStyle w:val="TPText-1slovan"/>
      </w:pPr>
      <w:r w:rsidRPr="00335BA4">
        <w:lastRenderedPageBreak/>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0E7B3F">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279E9EFC" w:rsidR="00004AE2" w:rsidRPr="00335BA4" w:rsidRDefault="00004AE2" w:rsidP="000E7B3F">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w:t>
      </w:r>
      <w:r w:rsidR="00D05326">
        <w:t> </w:t>
      </w:r>
      <w:r w:rsidRPr="00335BA4">
        <w:t>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0E7B3F">
      <w:pPr>
        <w:pStyle w:val="TPText-1slovan"/>
        <w:numPr>
          <w:ilvl w:val="0"/>
          <w:numId w:val="33"/>
        </w:numPr>
        <w:ind w:left="1701" w:hanging="425"/>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0E7B3F">
      <w:pPr>
        <w:pStyle w:val="TPText-1slovan"/>
        <w:numPr>
          <w:ilvl w:val="0"/>
          <w:numId w:val="33"/>
        </w:numPr>
        <w:ind w:left="1701" w:hanging="425"/>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0E7B3F">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318C0646" w:rsidR="00854C94" w:rsidRDefault="00854C94" w:rsidP="000E7B3F">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w:t>
      </w:r>
      <w:r w:rsidR="00D05326">
        <w:t> </w:t>
      </w:r>
      <w:r w:rsidRPr="00335BA4">
        <w:t>dnů.</w:t>
      </w:r>
    </w:p>
    <w:p w14:paraId="4B6AD9D8" w14:textId="0EF57140" w:rsidR="00950E84" w:rsidRPr="00335BA4" w:rsidRDefault="00950E84" w:rsidP="000E7B3F">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0E7B3F">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0E7B3F">
      <w:pPr>
        <w:pStyle w:val="TPText-1slovan"/>
        <w:numPr>
          <w:ilvl w:val="0"/>
          <w:numId w:val="52"/>
        </w:numPr>
        <w:ind w:left="1701" w:hanging="425"/>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0E7B3F">
      <w:pPr>
        <w:pStyle w:val="TPText-1slovan"/>
        <w:numPr>
          <w:ilvl w:val="0"/>
          <w:numId w:val="52"/>
        </w:numPr>
        <w:ind w:left="1701" w:hanging="425"/>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0E7B3F">
      <w:pPr>
        <w:pStyle w:val="TPText-1slovan"/>
        <w:numPr>
          <w:ilvl w:val="2"/>
          <w:numId w:val="61"/>
        </w:numPr>
      </w:pPr>
      <w:r w:rsidRPr="00780D30">
        <w:t>Významný dodavatel je dále povinen:</w:t>
      </w:r>
    </w:p>
    <w:p w14:paraId="58C336DC" w14:textId="3F7ECFDC" w:rsidR="00625919" w:rsidRPr="00335BA4" w:rsidRDefault="00FA719A" w:rsidP="000E7B3F">
      <w:pPr>
        <w:pStyle w:val="TPText-1slovan"/>
        <w:numPr>
          <w:ilvl w:val="0"/>
          <w:numId w:val="53"/>
        </w:numPr>
        <w:ind w:left="1701" w:hanging="425"/>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w:t>
      </w:r>
      <w:r w:rsidR="00D05326">
        <w:t> </w:t>
      </w:r>
      <w:r w:rsidRPr="00335BA4">
        <w:t>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0E7B3F">
      <w:pPr>
        <w:pStyle w:val="TPText-1slovan"/>
        <w:numPr>
          <w:ilvl w:val="0"/>
          <w:numId w:val="53"/>
        </w:numPr>
        <w:ind w:left="1701" w:hanging="425"/>
      </w:pPr>
      <w:r w:rsidRPr="00335BA4">
        <w:lastRenderedPageBreak/>
        <w:t>strpět a poskytnout Objednateli veškerou potřebnou součinnost v případě nutnosti provést penetrační testování;</w:t>
      </w:r>
    </w:p>
    <w:p w14:paraId="2B91D134" w14:textId="77777777" w:rsidR="008E74D4" w:rsidRPr="00335BA4" w:rsidRDefault="00625919" w:rsidP="000E7B3F">
      <w:pPr>
        <w:pStyle w:val="TPText-1slovan"/>
        <w:numPr>
          <w:ilvl w:val="0"/>
          <w:numId w:val="53"/>
        </w:numPr>
        <w:ind w:left="1701" w:hanging="425"/>
      </w:pPr>
      <w:r w:rsidRPr="00335BA4">
        <w:t>zpracovat a pravidelně aktualizovat bezpečnostní dokumentaci v rozsahu stanoveném ve Smlouvě;</w:t>
      </w:r>
    </w:p>
    <w:p w14:paraId="35B220D8" w14:textId="7F7F3A43" w:rsidR="00FA719A" w:rsidRPr="00335BA4" w:rsidRDefault="008E74D4" w:rsidP="000E7B3F">
      <w:pPr>
        <w:pStyle w:val="TPText-1slovan"/>
        <w:numPr>
          <w:ilvl w:val="0"/>
          <w:numId w:val="53"/>
        </w:numPr>
        <w:ind w:left="1701" w:hanging="425"/>
      </w:pPr>
      <w:r w:rsidRPr="00335BA4">
        <w:t>průběžně detekovat známé zranitelnosti dotčených aktiv Objednatele a bezodkladně na ně upozorňovat Objednatele;</w:t>
      </w:r>
      <w:r w:rsidR="00FD1ED7" w:rsidRPr="00335BA4">
        <w:t xml:space="preserve"> a</w:t>
      </w:r>
    </w:p>
    <w:p w14:paraId="58CC984D" w14:textId="25C377FD" w:rsidR="00847E1F" w:rsidRPr="002836E8" w:rsidRDefault="00847E1F" w:rsidP="000E7B3F">
      <w:pPr>
        <w:pStyle w:val="TPText-1slovan"/>
        <w:numPr>
          <w:ilvl w:val="0"/>
          <w:numId w:val="53"/>
        </w:numPr>
        <w:ind w:left="1701" w:hanging="425"/>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w:t>
      </w:r>
      <w:r w:rsidR="00D05326">
        <w:t> </w:t>
      </w:r>
      <w:r w:rsidR="006B61FA" w:rsidRPr="002836E8">
        <w:t>vyhodnocovaného vždy k 10. dni následujícího měsíce</w:t>
      </w:r>
      <w:r w:rsidR="00FD1ED7" w:rsidRPr="002836E8">
        <w:t>.</w:t>
      </w:r>
    </w:p>
    <w:p w14:paraId="31528951" w14:textId="688560C0" w:rsidR="006343F5" w:rsidRPr="00E33450" w:rsidRDefault="006343F5" w:rsidP="000E7B3F">
      <w:pPr>
        <w:pStyle w:val="TPText-1slovan"/>
        <w:numPr>
          <w:ilvl w:val="2"/>
          <w:numId w:val="62"/>
        </w:numPr>
      </w:pPr>
      <w:r w:rsidRPr="00E33450">
        <w:t>Provozovatel je dále povinen:</w:t>
      </w:r>
    </w:p>
    <w:p w14:paraId="467FBF93" w14:textId="3FF4529C" w:rsidR="004310AC" w:rsidRPr="00335BA4" w:rsidRDefault="00222121" w:rsidP="000E7B3F">
      <w:pPr>
        <w:pStyle w:val="TPText-1slovan"/>
        <w:numPr>
          <w:ilvl w:val="0"/>
          <w:numId w:val="54"/>
        </w:numPr>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0E7B3F">
      <w:pPr>
        <w:pStyle w:val="TPText-1slovan"/>
        <w:numPr>
          <w:ilvl w:val="0"/>
          <w:numId w:val="54"/>
        </w:numPr>
      </w:pPr>
      <w:r w:rsidRPr="00335BA4">
        <w:t>plnit další povinnosti vyplývající pro Provozovatele ze ZKB a VKB.</w:t>
      </w:r>
    </w:p>
    <w:p w14:paraId="502DD717" w14:textId="113B012C" w:rsidR="00004AE2" w:rsidRPr="00332EAF" w:rsidRDefault="00004AE2" w:rsidP="000E7B3F">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Objednatel v</w:t>
      </w:r>
      <w:r w:rsidR="00D05326">
        <w:t> </w:t>
      </w:r>
      <w:r w:rsidRPr="00332EAF">
        <w:t xml:space="preserve">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194D7D28" w:rsidR="008368F2" w:rsidRPr="00332EAF" w:rsidRDefault="008368F2" w:rsidP="000E7B3F">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ontaktní osoby povinny vzájemně komunikovat, ihned po zjištění takových skutečností hlásit jejich výskyt druhé Straně a</w:t>
      </w:r>
      <w:r w:rsidR="00D05326">
        <w:t> </w:t>
      </w:r>
      <w:r w:rsidRPr="00332EAF">
        <w:t xml:space="preserve">společně podnikat kroky k zajištění obnovení bezpečnosti informací. </w:t>
      </w:r>
    </w:p>
    <w:p w14:paraId="6FF53C53" w14:textId="39C8FAE8" w:rsidR="008368F2" w:rsidRPr="00332EAF" w:rsidRDefault="008368F2" w:rsidP="000E7B3F">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0E7B3F">
      <w:pPr>
        <w:pStyle w:val="TPText-1slovan"/>
      </w:pPr>
      <w:r w:rsidRPr="00332EAF">
        <w:t xml:space="preserve">Objednatel je oprávněn požadovat na Dodavateli zaplacení smluvní pokuty: </w:t>
      </w:r>
    </w:p>
    <w:p w14:paraId="7BBEA52B" w14:textId="76D3F23A" w:rsidR="005713A3" w:rsidRPr="00335BA4" w:rsidRDefault="005713A3" w:rsidP="000E7B3F">
      <w:pPr>
        <w:pStyle w:val="TPText-1slovan"/>
        <w:numPr>
          <w:ilvl w:val="0"/>
          <w:numId w:val="51"/>
        </w:numPr>
        <w:ind w:left="1701" w:hanging="425"/>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0E7B3F">
      <w:pPr>
        <w:pStyle w:val="TPText-1slovan"/>
        <w:numPr>
          <w:ilvl w:val="0"/>
          <w:numId w:val="35"/>
        </w:numPr>
        <w:ind w:left="2552" w:hanging="567"/>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0E7B3F">
      <w:pPr>
        <w:pStyle w:val="TPText-1slovan"/>
        <w:numPr>
          <w:ilvl w:val="0"/>
          <w:numId w:val="35"/>
        </w:numPr>
        <w:ind w:left="2552" w:hanging="567"/>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0E7B3F">
      <w:pPr>
        <w:pStyle w:val="TPText-1slovan"/>
        <w:numPr>
          <w:ilvl w:val="0"/>
          <w:numId w:val="35"/>
        </w:numPr>
        <w:ind w:left="2552" w:hanging="567"/>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0E7B3F">
      <w:pPr>
        <w:pStyle w:val="TPText-1slovan"/>
        <w:numPr>
          <w:ilvl w:val="0"/>
          <w:numId w:val="51"/>
        </w:numPr>
        <w:ind w:left="1701" w:hanging="425"/>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0E7B3F">
      <w:pPr>
        <w:pStyle w:val="TPText-1slovan"/>
        <w:numPr>
          <w:ilvl w:val="0"/>
          <w:numId w:val="36"/>
        </w:numPr>
        <w:ind w:left="2552" w:hanging="567"/>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0E7B3F">
      <w:pPr>
        <w:pStyle w:val="TPText-1slovan"/>
        <w:numPr>
          <w:ilvl w:val="0"/>
          <w:numId w:val="36"/>
        </w:numPr>
        <w:ind w:left="2552" w:hanging="567"/>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0E7B3F">
      <w:pPr>
        <w:pStyle w:val="TPText-1slovan"/>
        <w:numPr>
          <w:ilvl w:val="0"/>
          <w:numId w:val="51"/>
        </w:numPr>
        <w:ind w:left="1701" w:hanging="425"/>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6041B52F" w:rsidR="00423298" w:rsidRPr="00335BA4" w:rsidRDefault="005713A3" w:rsidP="000E7B3F">
      <w:pPr>
        <w:pStyle w:val="TPText-1slovan"/>
        <w:numPr>
          <w:ilvl w:val="0"/>
          <w:numId w:val="51"/>
        </w:numPr>
        <w:ind w:left="1701" w:hanging="425"/>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w:t>
      </w:r>
      <w:r w:rsidR="000E7B3F">
        <w:t> </w:t>
      </w:r>
      <w:r w:rsidRPr="00335BA4">
        <w:t>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0E7B3F">
      <w:pPr>
        <w:pStyle w:val="TPText-1slovan"/>
        <w:numPr>
          <w:ilvl w:val="0"/>
          <w:numId w:val="51"/>
        </w:numPr>
        <w:ind w:left="1701" w:hanging="425"/>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0E7B3F">
      <w:pPr>
        <w:pStyle w:val="TPText-1slovan"/>
        <w:numPr>
          <w:ilvl w:val="0"/>
          <w:numId w:val="51"/>
        </w:numPr>
        <w:ind w:left="1701" w:hanging="425"/>
      </w:pPr>
      <w:r w:rsidRPr="00335BA4">
        <w:lastRenderedPageBreak/>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0E7B3F">
      <w:pPr>
        <w:pStyle w:val="TPText-1slovan"/>
        <w:numPr>
          <w:ilvl w:val="0"/>
          <w:numId w:val="51"/>
        </w:numPr>
        <w:ind w:left="1701" w:hanging="425"/>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0E7B3F">
      <w:pPr>
        <w:pStyle w:val="TPNADPIS-1slovan"/>
      </w:pPr>
      <w:bookmarkStart w:id="157" w:name="_Ref117498661"/>
      <w:bookmarkStart w:id="158" w:name="_Toc141473688"/>
      <w:r w:rsidRPr="00ED6198">
        <w:t>Ochrana osobních údajů</w:t>
      </w:r>
      <w:bookmarkEnd w:id="157"/>
      <w:bookmarkEnd w:id="158"/>
    </w:p>
    <w:p w14:paraId="0C3FB491" w14:textId="22B28A73" w:rsidR="00F56D62" w:rsidRPr="00ED6198" w:rsidRDefault="00F039B0" w:rsidP="000E7B3F">
      <w:pPr>
        <w:pStyle w:val="TPText-1slovan"/>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0E7B3F">
      <w:pPr>
        <w:pStyle w:val="TPText-1slovan"/>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42380741" w:rsidR="00ED54A8" w:rsidRPr="00ED6198" w:rsidRDefault="00ED54A8" w:rsidP="000E7B3F">
      <w:pPr>
        <w:pStyle w:val="TPText-1slovan"/>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w:t>
      </w:r>
      <w:r w:rsidR="000E7B3F">
        <w:t> </w:t>
      </w:r>
      <w:r w:rsidRPr="00ED6198">
        <w:t>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0E7B3F">
      <w:pPr>
        <w:pStyle w:val="TPText-1slovan"/>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0E7B3F">
      <w:pPr>
        <w:pStyle w:val="TPText-1slovan"/>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0E7B3F">
      <w:pPr>
        <w:pStyle w:val="TPText-1slovan"/>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77A27A2C" w:rsidR="00ED54A8" w:rsidRPr="00ED6198" w:rsidRDefault="00FF03FE" w:rsidP="000E7B3F">
      <w:pPr>
        <w:pStyle w:val="TPText-1slovan"/>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jakož i v souladu s</w:t>
      </w:r>
      <w:r w:rsidR="000E7B3F">
        <w:t> </w:t>
      </w:r>
      <w:r w:rsidR="00D9208C" w:rsidRPr="00ED6198">
        <w:t xml:space="preserve">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nápomocen prostřednictvím vhodných technických a</w:t>
      </w:r>
      <w:r w:rsidR="000E7B3F">
        <w:t> </w:t>
      </w:r>
      <w:r w:rsidR="00ED54A8" w:rsidRPr="00ED6198">
        <w:t xml:space="preserve">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0E7B3F">
      <w:pPr>
        <w:pStyle w:val="TPText-1slovan"/>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0E7B3F">
      <w:pPr>
        <w:pStyle w:val="TPText-1slovan"/>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0E7B3F">
      <w:pPr>
        <w:pStyle w:val="TPText-1slovan"/>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0E7B3F">
      <w:pPr>
        <w:pStyle w:val="TPText-1slovan"/>
      </w:pPr>
      <w:r w:rsidRPr="00ED6198">
        <w:lastRenderedPageBreak/>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EFB84A7" w:rsidR="007405D7" w:rsidRPr="00ED6198" w:rsidRDefault="0046698C" w:rsidP="000E7B3F">
      <w:pPr>
        <w:pStyle w:val="TPText-1slovan"/>
      </w:pPr>
      <w:r w:rsidRPr="00ED6198">
        <w:t>Pokud Dodavatel poruší povinnost chránit Osobní údaje v souladu s</w:t>
      </w:r>
      <w:r w:rsidR="0096099D" w:rsidRPr="00ED6198">
        <w:t> tímto článkem</w:t>
      </w:r>
      <w:r w:rsidRPr="00ED6198">
        <w:t>, vzniká Objednateli nárok na zaplacení smluvní pokuty ve výši částky sankce případně uložené z</w:t>
      </w:r>
      <w:r w:rsidR="000E7B3F">
        <w:t> </w:t>
      </w:r>
      <w:r w:rsidRPr="00ED6198">
        <w:t xml:space="preserve">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0E7B3F">
      <w:pPr>
        <w:pStyle w:val="TPNADPIS-1slovan"/>
      </w:pPr>
      <w:bookmarkStart w:id="159" w:name="_Ref115696518"/>
      <w:bookmarkStart w:id="160" w:name="_Toc141473689"/>
      <w:r w:rsidRPr="00ED6198">
        <w:t>ochrana důvěrných informací</w:t>
      </w:r>
      <w:bookmarkEnd w:id="159"/>
      <w:bookmarkEnd w:id="160"/>
    </w:p>
    <w:p w14:paraId="44D53AB3" w14:textId="43FEB42C" w:rsidR="007405D7" w:rsidRPr="00ED6198" w:rsidRDefault="007405D7" w:rsidP="000E7B3F">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w:t>
      </w:r>
      <w:r w:rsidR="000E7B3F">
        <w:t> </w:t>
      </w:r>
      <w:r w:rsidRPr="00ED6198">
        <w:t>uchovávat je v tajnosti.</w:t>
      </w:r>
    </w:p>
    <w:p w14:paraId="4339BC2B" w14:textId="120E57F3" w:rsidR="007405D7" w:rsidRPr="00ED6198" w:rsidRDefault="007405D7" w:rsidP="000E7B3F">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0E7B3F">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0E7B3F">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0E7B3F">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0E7B3F">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0E7B3F">
      <w:pPr>
        <w:pStyle w:val="TPText-1slovan"/>
      </w:pPr>
      <w:r w:rsidRPr="00ED6198">
        <w:t xml:space="preserve">Objednatel je oprávněn požadovat na Dodavateli zaplacení smluvní pokuty: </w:t>
      </w:r>
    </w:p>
    <w:p w14:paraId="69F6065D" w14:textId="1A4170C6" w:rsidR="007405D7" w:rsidRPr="00ED6198" w:rsidRDefault="007405D7" w:rsidP="000E7B3F">
      <w:pPr>
        <w:pStyle w:val="TPText-1slovan"/>
        <w:numPr>
          <w:ilvl w:val="0"/>
          <w:numId w:val="0"/>
        </w:numPr>
        <w:ind w:left="1106"/>
      </w:pPr>
      <w:r w:rsidRPr="00ED6198">
        <w:t>(a)</w:t>
      </w:r>
      <w:r w:rsidRPr="00ED6198">
        <w:tab/>
        <w:t>ve výši 500 000 Kč za každé jednotlivé jednání, které představuje porušení jakékoli z</w:t>
      </w:r>
      <w:r w:rsidR="000E7B3F">
        <w:t> </w:t>
      </w:r>
      <w:r w:rsidRPr="00ED6198">
        <w:t xml:space="preserve">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0E7B3F">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FE5DE" w14:textId="77777777" w:rsidR="00917D23" w:rsidRDefault="00917D23" w:rsidP="00533FFF">
      <w:pPr>
        <w:spacing w:after="0" w:line="240" w:lineRule="auto"/>
      </w:pPr>
      <w:r>
        <w:separator/>
      </w:r>
    </w:p>
  </w:endnote>
  <w:endnote w:type="continuationSeparator" w:id="0">
    <w:p w14:paraId="37B58999" w14:textId="77777777" w:rsidR="00917D23" w:rsidRDefault="00917D23" w:rsidP="00533FFF">
      <w:pPr>
        <w:spacing w:after="0" w:line="240" w:lineRule="auto"/>
      </w:pPr>
      <w:r>
        <w:continuationSeparator/>
      </w:r>
    </w:p>
  </w:endnote>
  <w:endnote w:type="continuationNotice" w:id="1">
    <w:p w14:paraId="3E48DFF4" w14:textId="77777777" w:rsidR="00917D23" w:rsidRDefault="00917D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165ABD65"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25</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7D1ACC04"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06917" w14:textId="77777777" w:rsidR="00917D23" w:rsidRDefault="00917D23" w:rsidP="00533FFF">
      <w:pPr>
        <w:spacing w:after="0" w:line="240" w:lineRule="auto"/>
      </w:pPr>
      <w:r>
        <w:separator/>
      </w:r>
    </w:p>
  </w:footnote>
  <w:footnote w:type="continuationSeparator" w:id="0">
    <w:p w14:paraId="2FE8A8AA" w14:textId="77777777" w:rsidR="00917D23" w:rsidRDefault="00917D23" w:rsidP="00533FFF">
      <w:pPr>
        <w:spacing w:after="0" w:line="240" w:lineRule="auto"/>
      </w:pPr>
      <w:r>
        <w:continuationSeparator/>
      </w:r>
    </w:p>
  </w:footnote>
  <w:footnote w:type="continuationNotice" w:id="1">
    <w:p w14:paraId="60C57D62" w14:textId="77777777" w:rsidR="00917D23" w:rsidRDefault="00917D23">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E7B3F"/>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820"/>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1315"/>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2F1"/>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A77"/>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691"/>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4"/>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27B9E"/>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0F"/>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684"/>
    <w:rsid w:val="008E089B"/>
    <w:rsid w:val="008E13A7"/>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17D23"/>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6F1"/>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0A10"/>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532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2296"/>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39DF"/>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572691"/>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3ea2cb-d0dd-4380-9e6d-7a9977b685a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780E7-1013-409D-AF50-697F90EE5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3.xml><?xml version="1.0" encoding="utf-8"?>
<ds:datastoreItem xmlns:ds="http://schemas.openxmlformats.org/officeDocument/2006/customXml" ds:itemID="{98D264CF-6FF9-4E51-8A0D-93D3BB01360A}">
  <ds:schemaRefs>
    <ds:schemaRef ds:uri="http://schemas.microsoft.com/office/2006/metadata/properties"/>
    <ds:schemaRef ds:uri="http://purl.org/dc/elements/1.1/"/>
    <ds:schemaRef ds:uri="a2e7f628-ce82-4da9-b257-4161d8a5e7ef"/>
    <ds:schemaRef ds:uri="bb3ea2cb-d0dd-4380-9e6d-7a9977b685a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2E753BF-EE05-488D-B5E0-43D2ACBF7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14794</Words>
  <Characters>87290</Characters>
  <Application>Microsoft Office Word</Application>
  <DocSecurity>4</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2023-10-02T10:37:00Z</dcterms:created>
  <dcterms:modified xsi:type="dcterms:W3CDTF">2023-10-02T10:37:00Z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ies>
</file>