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4D3E9908" w:rsidR="00F422D3" w:rsidRDefault="00F422D3" w:rsidP="00B42F40">
      <w:pPr>
        <w:pStyle w:val="Titul2"/>
      </w:pPr>
      <w:r>
        <w:t>Název zakázky: „</w:t>
      </w:r>
      <w:r w:rsidR="00B95D3F">
        <w:t>Rekonstrukce mostu v km 120,767, trati Frýdek Místek – Český Těšín</w:t>
      </w:r>
      <w:r>
        <w:t>“</w:t>
      </w:r>
      <w:r w:rsidR="00B95D3F">
        <w:t xml:space="preserve"> -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37040934" w:rsidR="00F91101" w:rsidRPr="005C7EED" w:rsidRDefault="00B95D3F" w:rsidP="00F91101">
      <w:pPr>
        <w:spacing w:after="120"/>
        <w:ind w:left="567"/>
        <w:jc w:val="both"/>
        <w:rPr>
          <w:rFonts w:ascii="Verdana" w:hAnsi="Verdana" w:cs="Calibri"/>
        </w:rPr>
      </w:pPr>
      <w:r>
        <w:t>Mgr. Michal Maier</w:t>
      </w:r>
      <w:r w:rsidR="00F91101" w:rsidRPr="005C7EED">
        <w:rPr>
          <w:rFonts w:ascii="Verdana" w:hAnsi="Verdana" w:cs="Calibri"/>
        </w:rPr>
        <w:t xml:space="preserve">, tel.: </w:t>
      </w:r>
      <w:r>
        <w:t>+420 724 932 278</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1B7716BD" w:rsidR="00F91101" w:rsidRPr="005C7EED" w:rsidRDefault="00B95D3F" w:rsidP="00F91101">
      <w:pPr>
        <w:spacing w:after="120"/>
        <w:ind w:left="567"/>
        <w:jc w:val="both"/>
        <w:rPr>
          <w:rFonts w:ascii="Verdana" w:hAnsi="Verdana" w:cs="Calibri"/>
        </w:rPr>
      </w:pPr>
      <w:r>
        <w:t>Ing. Richard Šulák</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+420 727 898 423</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54CF5E52" w:rsidR="00F422D3" w:rsidRDefault="00B95D3F" w:rsidP="00B42F40">
      <w:pPr>
        <w:pStyle w:val="Textbezodsazen"/>
      </w:pPr>
      <w:r>
        <w:t>SUBISPROFIN/</w:t>
      </w:r>
      <w:r w:rsidR="00F422D3">
        <w:t xml:space="preserve">ISPROFOND: </w:t>
      </w:r>
      <w:r>
        <w:t>5833530011/3273214993</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11E4259D"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B95D3F">
        <w:rPr>
          <w:b/>
          <w:bCs/>
        </w:rPr>
        <w:t>„</w:t>
      </w:r>
      <w:r w:rsidR="00B95D3F" w:rsidRPr="00B95D3F">
        <w:rPr>
          <w:rFonts w:ascii="Verdana" w:hAnsi="Verdana" w:cs="Calibri"/>
          <w:b/>
          <w:bCs/>
        </w:rPr>
        <w:t>Rekonstrukce mostu v km 120,767, trati Frýdek Místek – Český Těšín</w:t>
      </w:r>
      <w:r w:rsidR="00F91101" w:rsidRPr="00B95D3F">
        <w:rPr>
          <w:b/>
          <w:bCs/>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239732C9" w14:textId="2761EDB5" w:rsidR="00BF7940" w:rsidRPr="00B95D3F" w:rsidRDefault="00F91101" w:rsidP="00B95D3F">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BF7940" w:rsidRPr="00BF7940">
        <w:rPr>
          <w:rFonts w:eastAsia="Times New Roman" w:cs="Calibri"/>
          <w:i/>
          <w:color w:val="FF0000"/>
          <w:u w:val="single"/>
          <w:lang w:eastAsia="cs-CZ"/>
        </w:rPr>
        <w:t xml:space="preserve"> </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2A9D0A20" w:rsidR="00F91101" w:rsidRPr="005C7EED" w:rsidRDefault="00F91101" w:rsidP="00F7247A">
      <w:pPr>
        <w:pStyle w:val="Text1-2"/>
        <w:numPr>
          <w:ilvl w:val="2"/>
          <w:numId w:val="8"/>
        </w:numPr>
        <w:tabs>
          <w:tab w:val="clear" w:pos="1474"/>
        </w:tabs>
        <w:ind w:left="737"/>
      </w:pPr>
      <w:r w:rsidRPr="005C7EED">
        <w:t xml:space="preserve">Ukončení výkonu činnosti: do </w:t>
      </w:r>
      <w:r w:rsidR="00B95D3F" w:rsidRPr="00B95D3F">
        <w:rPr>
          <w:rFonts w:cs="Arial"/>
          <w:b/>
          <w:bCs/>
        </w:rPr>
        <w:t xml:space="preserve">7 </w:t>
      </w:r>
      <w:r w:rsidRPr="00B95D3F">
        <w:rPr>
          <w:b/>
          <w:bCs/>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7777777" w:rsidR="00D92545" w:rsidRDefault="00D92545" w:rsidP="00D92545">
      <w:pPr>
        <w:pStyle w:val="Text1-2"/>
        <w:numPr>
          <w:ilvl w:val="0"/>
          <w:numId w:val="33"/>
        </w:numPr>
        <w:ind w:left="1843"/>
      </w:pPr>
      <w:r w:rsidRPr="00C41F26">
        <w:t>on, ani žádný z jeho poddodavatelů, či jiné osoby, které se budou podílet na plnění Smlouvy,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77777777"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14:paraId="7F987E45" w14:textId="77777777" w:rsidR="008F4602" w:rsidRPr="00B47369"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77777777"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0309D" w:rsidRPr="0050326A">
        <w:t>Občanského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lastRenderedPageBreak/>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7777777"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w:t>
      </w:r>
      <w:r w:rsidR="00F91101" w:rsidRPr="005C7EED">
        <w:rPr>
          <w:rFonts w:ascii="Verdana" w:hAnsi="Verdana" w:cs="Calibri"/>
        </w:rPr>
        <w:lastRenderedPageBreak/>
        <w:t xml:space="preserve">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7A088FAC" w14:textId="77777777"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lastRenderedPageBreak/>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w:t>
      </w:r>
      <w:r w:rsidRPr="005C7EED">
        <w:rPr>
          <w:rFonts w:ascii="Verdana" w:hAnsi="Verdana"/>
          <w:sz w:val="18"/>
          <w:szCs w:val="18"/>
        </w:rPr>
        <w:lastRenderedPageBreak/>
        <w:t xml:space="preserve">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lastRenderedPageBreak/>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577140C5"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5D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5D3F"/>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19</TotalTime>
  <Pages>17</Pages>
  <Words>6848</Words>
  <Characters>40405</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2019-03-12T14:16:00Z</cp:lastPrinted>
  <dcterms:created xsi:type="dcterms:W3CDTF">2023-11-06T16:02:00Z</dcterms:created>
  <dcterms:modified xsi:type="dcterms:W3CDTF">2023-12-11T12:07:00Z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