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486C66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4" w:name="_Toc517632207"/>
      <w:bookmarkStart w:id="5" w:name="_Toc517978984"/>
      <w:bookmarkStart w:id="6" w:name="_Toc518251181"/>
      <w:bookmarkStart w:id="7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4DC981DB" w:rsidR="000E00D4" w:rsidRDefault="000E00D4" w:rsidP="000E00D4">
      <w:pPr>
        <w:ind w:firstLine="426"/>
      </w:pPr>
      <w:r>
        <w:t>a)</w:t>
      </w:r>
      <w:r>
        <w:tab/>
      </w:r>
      <w:r w:rsidR="00AE38A3">
        <w:rPr>
          <w:b/>
          <w:bCs/>
          <w:lang w:eastAsia="cs-CZ"/>
        </w:rPr>
        <w:t xml:space="preserve">Jedenáct serverových nodů pro </w:t>
      </w:r>
      <w:r w:rsidR="00AE38A3" w:rsidRPr="00C20CA0">
        <w:rPr>
          <w:b/>
          <w:bCs/>
          <w:lang w:eastAsia="cs-CZ"/>
        </w:rPr>
        <w:t>virtualizační platform</w:t>
      </w:r>
      <w:r w:rsidR="00AE38A3">
        <w:rPr>
          <w:b/>
          <w:bCs/>
          <w:lang w:eastAsia="cs-CZ"/>
        </w:rPr>
        <w:t>u</w:t>
      </w:r>
    </w:p>
    <w:p w14:paraId="646EA458" w14:textId="5E2919BF" w:rsidR="000B4A87" w:rsidRDefault="00C569B1" w:rsidP="000E00D4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E31899">
        <w:rPr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B32C3" w:rsidRPr="0050706D" w14:paraId="550DD99D" w14:textId="77777777" w:rsidTr="003267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6AE7F638" w14:textId="77777777" w:rsidR="009B32C3" w:rsidRPr="00E539AF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5FDDA4F3" w14:textId="77777777" w:rsidR="009B32C3" w:rsidRPr="00E539AF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9B32C3" w:rsidRPr="0050706D" w14:paraId="1AFA283E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F6245FD" w14:textId="0901B39C" w:rsidR="009B32C3" w:rsidRPr="00E539AF" w:rsidRDefault="005572F9" w:rsidP="00603205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5572F9">
              <w:rPr>
                <w:rFonts w:cstheme="minorHAnsi"/>
                <w:sz w:val="16"/>
                <w:szCs w:val="16"/>
              </w:rPr>
              <w:t>11 serverových nodů se shodnou konfigurací</w:t>
            </w:r>
          </w:p>
        </w:tc>
        <w:tc>
          <w:tcPr>
            <w:tcW w:w="3288" w:type="dxa"/>
          </w:tcPr>
          <w:p w14:paraId="4823A83E" w14:textId="5B9A14B9" w:rsidR="009B32C3" w:rsidRPr="00B40A66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B40A66" w:rsidRPr="0050706D" w14:paraId="06FA8645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E6A493" w14:textId="43F2E16A" w:rsidR="00B40A66" w:rsidRPr="00E539AF" w:rsidRDefault="00790081" w:rsidP="00B40A66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790081">
              <w:rPr>
                <w:rFonts w:cstheme="minorHAnsi"/>
                <w:sz w:val="16"/>
                <w:szCs w:val="16"/>
              </w:rPr>
              <w:t>Provedení serverového nodu pro instalaci do rackové skříně o hloubce 100 cm</w:t>
            </w:r>
          </w:p>
        </w:tc>
        <w:tc>
          <w:tcPr>
            <w:tcW w:w="3288" w:type="dxa"/>
          </w:tcPr>
          <w:p w14:paraId="70444AE7" w14:textId="5B1FDAEF" w:rsidR="00B40A66" w:rsidRPr="00E539AF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966DD2" w:rsidRPr="0050706D" w14:paraId="11377D4B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D39BD7" w14:textId="434785BA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20587">
              <w:rPr>
                <w:rFonts w:cstheme="minorHAnsi"/>
                <w:sz w:val="16"/>
                <w:szCs w:val="16"/>
              </w:rPr>
              <w:t>Velikost skříně serveru o maximální výšce 2 RU (89 mm)</w:t>
            </w:r>
          </w:p>
        </w:tc>
        <w:tc>
          <w:tcPr>
            <w:tcW w:w="3288" w:type="dxa"/>
          </w:tcPr>
          <w:p w14:paraId="7A0E49F0" w14:textId="50A9C322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2E0B075D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58880EA" w14:textId="5DB686D6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01761">
              <w:rPr>
                <w:rFonts w:cstheme="minorHAnsi"/>
                <w:sz w:val="16"/>
                <w:szCs w:val="16"/>
              </w:rPr>
              <w:t xml:space="preserve">2x CPU, každý minimálně 32 </w:t>
            </w:r>
            <w:proofErr w:type="gramStart"/>
            <w:r w:rsidRPr="00901761">
              <w:rPr>
                <w:rFonts w:cstheme="minorHAnsi"/>
                <w:sz w:val="16"/>
                <w:szCs w:val="16"/>
              </w:rPr>
              <w:t>fyzických  jader</w:t>
            </w:r>
            <w:proofErr w:type="gramEnd"/>
            <w:r w:rsidRPr="00901761">
              <w:rPr>
                <w:rFonts w:cstheme="minorHAnsi"/>
                <w:sz w:val="16"/>
                <w:szCs w:val="16"/>
              </w:rPr>
              <w:t xml:space="preserve"> (64 vláken) se základní frekvencí minimálně 2.0 GHz se spotřebou maximálně 270 W TDP, výkon dle www.spec.org ve sloupci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baseline</w:t>
            </w:r>
            <w:proofErr w:type="spellEnd"/>
            <w:r w:rsidRPr="00901761">
              <w:rPr>
                <w:rFonts w:cstheme="minorHAnsi"/>
                <w:sz w:val="16"/>
                <w:szCs w:val="16"/>
              </w:rPr>
              <w:t xml:space="preserve"> minimálně 520 bodů pro CPU2017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Integer</w:t>
            </w:r>
            <w:proofErr w:type="spellEnd"/>
            <w:r w:rsidRPr="0090176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Rates</w:t>
            </w:r>
            <w:proofErr w:type="spellEnd"/>
            <w:r w:rsidRPr="00901761">
              <w:rPr>
                <w:rFonts w:cstheme="minorHAnsi"/>
                <w:sz w:val="16"/>
                <w:szCs w:val="16"/>
              </w:rPr>
              <w:t xml:space="preserve"> a 620 pro CPU2017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Floating</w:t>
            </w:r>
            <w:proofErr w:type="spellEnd"/>
            <w:r w:rsidRPr="00901761">
              <w:rPr>
                <w:rFonts w:cstheme="minorHAnsi"/>
                <w:sz w:val="16"/>
                <w:szCs w:val="16"/>
              </w:rPr>
              <w:t xml:space="preserve"> Point </w:t>
            </w:r>
            <w:proofErr w:type="spellStart"/>
            <w:r w:rsidRPr="00901761">
              <w:rPr>
                <w:rFonts w:cstheme="minorHAnsi"/>
                <w:sz w:val="16"/>
                <w:szCs w:val="16"/>
              </w:rPr>
              <w:t>Rates</w:t>
            </w:r>
            <w:proofErr w:type="spellEnd"/>
          </w:p>
        </w:tc>
        <w:tc>
          <w:tcPr>
            <w:tcW w:w="3288" w:type="dxa"/>
          </w:tcPr>
          <w:p w14:paraId="10C699E8" w14:textId="1BAFD4BB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D8092B7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86ACF5B" w14:textId="3549A5A1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C53DE">
              <w:rPr>
                <w:rFonts w:cstheme="minorHAnsi"/>
                <w:sz w:val="16"/>
                <w:szCs w:val="16"/>
              </w:rPr>
              <w:t>Operační paměť minimálně 1024 GB DDR5 4800Mhz s použitím modulů o minimální velikosti 64 GB, rozšiřitelná minimálně do 2048 GB jen přidáním dalších paměťových modulů</w:t>
            </w:r>
          </w:p>
        </w:tc>
        <w:tc>
          <w:tcPr>
            <w:tcW w:w="3288" w:type="dxa"/>
          </w:tcPr>
          <w:p w14:paraId="34A1C7F3" w14:textId="4380DA8E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A83EA3D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048FCF" w14:textId="4589E437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8D08F7">
              <w:rPr>
                <w:rFonts w:cstheme="minorHAnsi"/>
                <w:sz w:val="16"/>
                <w:szCs w:val="16"/>
              </w:rPr>
              <w:t>Každý server musí být osazen 2x interním M.2 SSD v HW RAID1, umožňující bootování jakéhokoli OS nebo hypervizoru o kapacitě alespoň 480 GB</w:t>
            </w:r>
          </w:p>
        </w:tc>
        <w:tc>
          <w:tcPr>
            <w:tcW w:w="3288" w:type="dxa"/>
          </w:tcPr>
          <w:p w14:paraId="1D0DEE83" w14:textId="414D6482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77AEC610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917FE3" w14:textId="1C3F1E0E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796093">
              <w:rPr>
                <w:rFonts w:cstheme="minorHAnsi"/>
                <w:sz w:val="16"/>
                <w:szCs w:val="16"/>
              </w:rPr>
              <w:t xml:space="preserve">Minimálně 2x </w:t>
            </w:r>
            <w:proofErr w:type="spellStart"/>
            <w:r w:rsidRPr="00796093">
              <w:rPr>
                <w:rFonts w:cstheme="minorHAnsi"/>
                <w:sz w:val="16"/>
                <w:szCs w:val="16"/>
              </w:rPr>
              <w:t>Dualport</w:t>
            </w:r>
            <w:proofErr w:type="spellEnd"/>
            <w:r w:rsidRPr="00796093">
              <w:rPr>
                <w:rFonts w:cstheme="minorHAnsi"/>
                <w:sz w:val="16"/>
                <w:szCs w:val="16"/>
              </w:rPr>
              <w:t xml:space="preserve"> 10/25 </w:t>
            </w:r>
            <w:proofErr w:type="spellStart"/>
            <w:r w:rsidRPr="00796093">
              <w:rPr>
                <w:rFonts w:cstheme="minorHAnsi"/>
                <w:sz w:val="16"/>
                <w:szCs w:val="16"/>
              </w:rPr>
              <w:t>Gbps</w:t>
            </w:r>
            <w:proofErr w:type="spellEnd"/>
            <w:r w:rsidRPr="00796093">
              <w:rPr>
                <w:rFonts w:cstheme="minorHAnsi"/>
                <w:sz w:val="16"/>
                <w:szCs w:val="16"/>
              </w:rPr>
              <w:t xml:space="preserve"> SFP+ LAN adapter (</w:t>
            </w:r>
            <w:proofErr w:type="spellStart"/>
            <w:r w:rsidRPr="00796093">
              <w:rPr>
                <w:rFonts w:cstheme="minorHAnsi"/>
                <w:sz w:val="16"/>
                <w:szCs w:val="16"/>
              </w:rPr>
              <w:t>kvuli</w:t>
            </w:r>
            <w:proofErr w:type="spellEnd"/>
            <w:r w:rsidRPr="0079609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96093">
              <w:rPr>
                <w:rFonts w:cstheme="minorHAnsi"/>
                <w:sz w:val="16"/>
                <w:szCs w:val="16"/>
              </w:rPr>
              <w:t>kompatibilite</w:t>
            </w:r>
            <w:proofErr w:type="spellEnd"/>
            <w:r w:rsidRPr="00796093">
              <w:rPr>
                <w:rFonts w:cstheme="minorHAnsi"/>
                <w:sz w:val="16"/>
                <w:szCs w:val="16"/>
              </w:rPr>
              <w:t xml:space="preserve"> preferujeme </w:t>
            </w:r>
            <w:proofErr w:type="spellStart"/>
            <w:r w:rsidRPr="00796093">
              <w:rPr>
                <w:rFonts w:cstheme="minorHAnsi"/>
                <w:sz w:val="16"/>
                <w:szCs w:val="16"/>
              </w:rPr>
              <w:t>Mellanox</w:t>
            </w:r>
            <w:proofErr w:type="spellEnd"/>
            <w:r w:rsidRPr="00796093">
              <w:rPr>
                <w:rFonts w:cstheme="minorHAnsi"/>
                <w:sz w:val="16"/>
                <w:szCs w:val="16"/>
              </w:rPr>
              <w:t>)</w:t>
            </w:r>
            <w:r w:rsidR="00C2732F">
              <w:rPr>
                <w:rFonts w:cstheme="minorHAnsi"/>
                <w:sz w:val="16"/>
                <w:szCs w:val="16"/>
              </w:rPr>
              <w:t xml:space="preserve"> včetně </w:t>
            </w:r>
            <w:r w:rsidR="00473C72">
              <w:rPr>
                <w:rFonts w:cstheme="minorHAnsi"/>
                <w:sz w:val="16"/>
                <w:szCs w:val="16"/>
              </w:rPr>
              <w:t>25Gbps SFP</w:t>
            </w:r>
            <w:proofErr w:type="gramStart"/>
            <w:r w:rsidR="00473C72">
              <w:rPr>
                <w:rFonts w:cstheme="minorHAnsi"/>
                <w:sz w:val="16"/>
                <w:szCs w:val="16"/>
              </w:rPr>
              <w:t>+  modulů</w:t>
            </w:r>
            <w:proofErr w:type="gramEnd"/>
          </w:p>
        </w:tc>
        <w:tc>
          <w:tcPr>
            <w:tcW w:w="3288" w:type="dxa"/>
          </w:tcPr>
          <w:p w14:paraId="39E3EAAD" w14:textId="5115B0C8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6FBD0BC5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B593BB4" w14:textId="6C98B47A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B45300">
              <w:rPr>
                <w:rFonts w:cstheme="minorHAnsi"/>
                <w:sz w:val="16"/>
                <w:szCs w:val="16"/>
              </w:rPr>
              <w:t xml:space="preserve">Minimálně 2x </w:t>
            </w:r>
            <w:proofErr w:type="spellStart"/>
            <w:r w:rsidRPr="00B45300">
              <w:rPr>
                <w:rFonts w:cstheme="minorHAnsi"/>
                <w:sz w:val="16"/>
                <w:szCs w:val="16"/>
              </w:rPr>
              <w:t>Dualport</w:t>
            </w:r>
            <w:proofErr w:type="spellEnd"/>
            <w:r w:rsidRPr="00B45300">
              <w:rPr>
                <w:rFonts w:cstheme="minorHAnsi"/>
                <w:sz w:val="16"/>
                <w:szCs w:val="16"/>
              </w:rPr>
              <w:t xml:space="preserve"> 32Gbps FC HBA adapter</w:t>
            </w:r>
            <w:r w:rsidR="005F39E3">
              <w:rPr>
                <w:rFonts w:cstheme="minorHAnsi"/>
                <w:sz w:val="16"/>
                <w:szCs w:val="16"/>
              </w:rPr>
              <w:t xml:space="preserve"> včetně 32Gbps modulů</w:t>
            </w:r>
          </w:p>
        </w:tc>
        <w:tc>
          <w:tcPr>
            <w:tcW w:w="3288" w:type="dxa"/>
          </w:tcPr>
          <w:p w14:paraId="39543D36" w14:textId="482BD587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3B57B9B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E28F4E" w14:textId="5D29F087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D66581">
              <w:rPr>
                <w:rFonts w:cstheme="minorHAnsi"/>
                <w:sz w:val="16"/>
                <w:szCs w:val="16"/>
              </w:rPr>
              <w:t xml:space="preserve">Dedikovaný 1 </w:t>
            </w:r>
            <w:proofErr w:type="spellStart"/>
            <w:r w:rsidRPr="00D66581">
              <w:rPr>
                <w:rFonts w:cstheme="minorHAnsi"/>
                <w:sz w:val="16"/>
                <w:szCs w:val="16"/>
              </w:rPr>
              <w:t>Gbps</w:t>
            </w:r>
            <w:proofErr w:type="spellEnd"/>
            <w:r w:rsidRPr="00D66581">
              <w:rPr>
                <w:rFonts w:cstheme="minorHAnsi"/>
                <w:sz w:val="16"/>
                <w:szCs w:val="16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7CA07BAC" w14:textId="391AC418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2E6729F3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5DC4AE" w14:textId="0BFD92A2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7E5339">
              <w:rPr>
                <w:rFonts w:cstheme="minorHAnsi"/>
                <w:sz w:val="16"/>
                <w:szCs w:val="16"/>
              </w:rPr>
              <w:t>Trusted</w:t>
            </w:r>
            <w:proofErr w:type="spellEnd"/>
            <w:r w:rsidRPr="007E533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E5339">
              <w:rPr>
                <w:rFonts w:cstheme="minorHAnsi"/>
                <w:sz w:val="16"/>
                <w:szCs w:val="16"/>
              </w:rPr>
              <w:t>Platform</w:t>
            </w:r>
            <w:proofErr w:type="spellEnd"/>
            <w:r w:rsidRPr="007E5339">
              <w:rPr>
                <w:rFonts w:cstheme="minorHAnsi"/>
                <w:sz w:val="16"/>
                <w:szCs w:val="16"/>
              </w:rPr>
              <w:t xml:space="preserve"> Module 2.0</w:t>
            </w:r>
          </w:p>
        </w:tc>
        <w:tc>
          <w:tcPr>
            <w:tcW w:w="3288" w:type="dxa"/>
          </w:tcPr>
          <w:p w14:paraId="564EF704" w14:textId="52E1A9DB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41EF2B24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BBBD35" w14:textId="016EDD3A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B803DC">
              <w:rPr>
                <w:rFonts w:cstheme="minorHAnsi"/>
                <w:sz w:val="16"/>
                <w:szCs w:val="16"/>
              </w:rPr>
              <w:t xml:space="preserve">2x hot-swap napájecí zdroj, každý minimálně o výkonu 750 W s minimální certifikací „80 PLUS </w:t>
            </w:r>
            <w:proofErr w:type="spellStart"/>
            <w:r w:rsidRPr="00B803DC">
              <w:rPr>
                <w:rFonts w:cstheme="minorHAnsi"/>
                <w:sz w:val="16"/>
                <w:szCs w:val="16"/>
              </w:rPr>
              <w:t>Titanium</w:t>
            </w:r>
            <w:proofErr w:type="spellEnd"/>
            <w:r w:rsidRPr="00B803DC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88" w:type="dxa"/>
          </w:tcPr>
          <w:p w14:paraId="0656906C" w14:textId="363E07EF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6ADC47CF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C5CFB3F" w14:textId="7A136F9E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91E60">
              <w:rPr>
                <w:rFonts w:cstheme="minorHAnsi"/>
                <w:sz w:val="16"/>
                <w:szCs w:val="16"/>
              </w:rPr>
              <w:t>Výsuvné ližiny do rackové skříně včetně ramena na kabely „</w:t>
            </w:r>
            <w:proofErr w:type="spellStart"/>
            <w:r w:rsidRPr="00E91E60">
              <w:rPr>
                <w:rFonts w:cstheme="minorHAnsi"/>
                <w:sz w:val="16"/>
                <w:szCs w:val="16"/>
              </w:rPr>
              <w:t>cable</w:t>
            </w:r>
            <w:proofErr w:type="spellEnd"/>
            <w:r w:rsidRPr="00E91E60">
              <w:rPr>
                <w:rFonts w:cstheme="minorHAnsi"/>
                <w:sz w:val="16"/>
                <w:szCs w:val="16"/>
              </w:rPr>
              <w:t xml:space="preserve"> management </w:t>
            </w:r>
            <w:proofErr w:type="spellStart"/>
            <w:r w:rsidRPr="00E91E60">
              <w:rPr>
                <w:rFonts w:cstheme="minorHAnsi"/>
                <w:sz w:val="16"/>
                <w:szCs w:val="16"/>
              </w:rPr>
              <w:t>arm</w:t>
            </w:r>
            <w:proofErr w:type="spellEnd"/>
            <w:r w:rsidRPr="00E91E60">
              <w:rPr>
                <w:rFonts w:cstheme="minorHAnsi"/>
                <w:sz w:val="16"/>
                <w:szCs w:val="16"/>
              </w:rPr>
              <w:t>“</w:t>
            </w:r>
          </w:p>
        </w:tc>
        <w:tc>
          <w:tcPr>
            <w:tcW w:w="3288" w:type="dxa"/>
          </w:tcPr>
          <w:p w14:paraId="361F53BD" w14:textId="04C31958" w:rsidR="00966DD2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376F0EB9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3FDAC67" w14:textId="6A6FCBC7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14F0B">
              <w:rPr>
                <w:rFonts w:cstheme="minorHAnsi"/>
                <w:sz w:val="16"/>
                <w:szCs w:val="16"/>
              </w:rPr>
              <w:t xml:space="preserve">2x napájecí kabel </w:t>
            </w:r>
            <w:proofErr w:type="gramStart"/>
            <w:r w:rsidRPr="00914F0B">
              <w:rPr>
                <w:rFonts w:cstheme="minorHAnsi"/>
                <w:sz w:val="16"/>
                <w:szCs w:val="16"/>
              </w:rPr>
              <w:t>230V</w:t>
            </w:r>
            <w:proofErr w:type="gramEnd"/>
            <w:r w:rsidRPr="00914F0B">
              <w:rPr>
                <w:rFonts w:cstheme="minorHAnsi"/>
                <w:sz w:val="16"/>
                <w:szCs w:val="16"/>
              </w:rPr>
              <w:t xml:space="preserve"> CEE7/7 v délce minimálně 1.8 metru, každý v jiné barvě (černá, červená)</w:t>
            </w:r>
          </w:p>
        </w:tc>
        <w:tc>
          <w:tcPr>
            <w:tcW w:w="3288" w:type="dxa"/>
          </w:tcPr>
          <w:p w14:paraId="45CBD31E" w14:textId="3995D6AE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5B898AD8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A94AD78" w14:textId="620FC2DF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C5149">
              <w:rPr>
                <w:rFonts w:cstheme="minorHAnsi"/>
                <w:sz w:val="16"/>
                <w:szCs w:val="16"/>
              </w:rPr>
              <w:t xml:space="preserve">Podporované OS Windows Server 2019,2022, </w:t>
            </w:r>
            <w:proofErr w:type="spellStart"/>
            <w:r w:rsidRPr="00EC5149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EC5149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C5149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EC5149">
              <w:rPr>
                <w:rFonts w:cstheme="minorHAnsi"/>
                <w:sz w:val="16"/>
                <w:szCs w:val="16"/>
              </w:rPr>
              <w:t xml:space="preserve"> 7.0 a vyšší, </w:t>
            </w:r>
            <w:proofErr w:type="spellStart"/>
            <w:r w:rsidRPr="00EC5149">
              <w:rPr>
                <w:rFonts w:cstheme="minorHAnsi"/>
                <w:sz w:val="16"/>
                <w:szCs w:val="16"/>
              </w:rPr>
              <w:t>RedHat</w:t>
            </w:r>
            <w:proofErr w:type="spellEnd"/>
            <w:r w:rsidRPr="00EC5149">
              <w:rPr>
                <w:rFonts w:cstheme="minorHAnsi"/>
                <w:sz w:val="16"/>
                <w:szCs w:val="16"/>
              </w:rPr>
              <w:t xml:space="preserve"> Linux 8.x a 9.x</w:t>
            </w:r>
          </w:p>
        </w:tc>
        <w:tc>
          <w:tcPr>
            <w:tcW w:w="3288" w:type="dxa"/>
          </w:tcPr>
          <w:p w14:paraId="74CF9B66" w14:textId="3F0C8302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66DAB098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13DFDA7" w14:textId="77777777" w:rsidR="00966DD2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462616">
              <w:rPr>
                <w:rFonts w:cstheme="minorHAnsi"/>
                <w:sz w:val="16"/>
                <w:szCs w:val="16"/>
              </w:rPr>
              <w:t xml:space="preserve">Vzdálená správa HW serveru </w:t>
            </w:r>
          </w:p>
          <w:p w14:paraId="30E7AEF4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Vzdálená správa s dedikovaným vlastním portem 1GE a možností převzít plně vzdálené ovládání serveru.</w:t>
            </w:r>
          </w:p>
          <w:p w14:paraId="716183D0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Možnost přesměrování management portu pomocí NSCI na jinou síťovou kartu.</w:t>
            </w:r>
          </w:p>
          <w:p w14:paraId="40474EF1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 xml:space="preserve">Možnost vzdáleného </w:t>
            </w:r>
            <w:proofErr w:type="spellStart"/>
            <w:r w:rsidRPr="00966DD2">
              <w:rPr>
                <w:rFonts w:cstheme="minorHAnsi"/>
                <w:sz w:val="16"/>
                <w:szCs w:val="16"/>
              </w:rPr>
              <w:t>mountování</w:t>
            </w:r>
            <w:proofErr w:type="spellEnd"/>
            <w:r w:rsidRPr="00966DD2">
              <w:rPr>
                <w:rFonts w:cstheme="minorHAnsi"/>
                <w:sz w:val="16"/>
                <w:szCs w:val="16"/>
              </w:rPr>
              <w:t xml:space="preserve"> ISO image.</w:t>
            </w:r>
          </w:p>
          <w:p w14:paraId="2E1904ED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Možnost sdílet jednu virtuální konzoli až šesti uživateli.</w:t>
            </w:r>
          </w:p>
          <w:p w14:paraId="6D58C05F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Podpora standartních Webových prohlížečů a HTML5.</w:t>
            </w:r>
          </w:p>
          <w:p w14:paraId="6311FF14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Inventarizace a možnost sledování stavu jednotlivých komponent včetně úrovní FW.</w:t>
            </w:r>
          </w:p>
          <w:p w14:paraId="6BE9DD34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lastRenderedPageBreak/>
              <w:t xml:space="preserve">Real </w:t>
            </w:r>
            <w:proofErr w:type="spellStart"/>
            <w:r w:rsidRPr="00966DD2">
              <w:rPr>
                <w:rFonts w:cstheme="minorHAnsi"/>
                <w:sz w:val="16"/>
                <w:szCs w:val="16"/>
              </w:rPr>
              <w:t>time</w:t>
            </w:r>
            <w:proofErr w:type="spellEnd"/>
            <w:r w:rsidRPr="00966DD2">
              <w:rPr>
                <w:rFonts w:cstheme="minorHAnsi"/>
                <w:sz w:val="16"/>
                <w:szCs w:val="16"/>
              </w:rPr>
              <w:t xml:space="preserve"> sledování vytíženosti CPU, paměti a spotřeby, možnost </w:t>
            </w:r>
            <w:proofErr w:type="spellStart"/>
            <w:r w:rsidRPr="00966DD2">
              <w:rPr>
                <w:rFonts w:cstheme="minorHAnsi"/>
                <w:sz w:val="16"/>
                <w:szCs w:val="16"/>
              </w:rPr>
              <w:t>Power</w:t>
            </w:r>
            <w:proofErr w:type="spellEnd"/>
            <w:r w:rsidRPr="00966DD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66DD2">
              <w:rPr>
                <w:rFonts w:cstheme="minorHAnsi"/>
                <w:sz w:val="16"/>
                <w:szCs w:val="16"/>
              </w:rPr>
              <w:t>cappingu</w:t>
            </w:r>
            <w:proofErr w:type="spellEnd"/>
            <w:r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24812AB4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Možnost asistované instalace OS bez dalších nástrojů, médií, ISO apod.</w:t>
            </w:r>
          </w:p>
          <w:p w14:paraId="7FEF07C4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Podpora REDFISH a RESTAPI skriptů.</w:t>
            </w:r>
          </w:p>
          <w:p w14:paraId="7FE25CAB" w14:textId="77777777" w:rsid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Nejvyšší licence pro správu serveru bez jakéhokoli omezení.</w:t>
            </w:r>
          </w:p>
          <w:p w14:paraId="46A064CC" w14:textId="7D6752D9" w:rsidR="00966DD2" w:rsidRPr="00966DD2" w:rsidRDefault="00966DD2" w:rsidP="00486C6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Všechny licence potřebné k provozu managementu a HW, (management, mapování ISO, KVM přístup).</w:t>
            </w:r>
          </w:p>
        </w:tc>
        <w:tc>
          <w:tcPr>
            <w:tcW w:w="3288" w:type="dxa"/>
          </w:tcPr>
          <w:p w14:paraId="1247C845" w14:textId="0B2C6D7F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lastRenderedPageBreak/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0AC02B1F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592C6C8" w14:textId="77777777" w:rsidR="00966DD2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75031C">
              <w:rPr>
                <w:rFonts w:cstheme="minorHAnsi"/>
                <w:sz w:val="16"/>
                <w:szCs w:val="16"/>
              </w:rPr>
              <w:t xml:space="preserve">Hromadná správa </w:t>
            </w:r>
          </w:p>
          <w:p w14:paraId="456C2A74" w14:textId="77777777" w:rsidR="00966DD2" w:rsidRDefault="00966DD2" w:rsidP="00486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 xml:space="preserve">Časově neomezená licence na hromadnou správu serverů, inventarizace a </w:t>
            </w:r>
            <w:proofErr w:type="spellStart"/>
            <w:r w:rsidRPr="00966DD2">
              <w:rPr>
                <w:rFonts w:cstheme="minorHAnsi"/>
                <w:sz w:val="16"/>
                <w:szCs w:val="16"/>
              </w:rPr>
              <w:t>alerting</w:t>
            </w:r>
            <w:proofErr w:type="spellEnd"/>
            <w:r w:rsidRPr="00966DD2">
              <w:rPr>
                <w:rFonts w:cstheme="minorHAnsi"/>
                <w:sz w:val="16"/>
                <w:szCs w:val="16"/>
              </w:rPr>
              <w:t>.</w:t>
            </w:r>
          </w:p>
          <w:p w14:paraId="036BE6D3" w14:textId="77777777" w:rsidR="00966DD2" w:rsidRDefault="00966DD2" w:rsidP="00486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Možnost hromadného sledováni a upgrade úrovní FW jednotlivých komponent serverů.</w:t>
            </w:r>
          </w:p>
          <w:p w14:paraId="19F0E082" w14:textId="77777777" w:rsidR="00966DD2" w:rsidRDefault="00966DD2" w:rsidP="00486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 xml:space="preserve">Call </w:t>
            </w:r>
            <w:proofErr w:type="spellStart"/>
            <w:r w:rsidRPr="00966DD2">
              <w:rPr>
                <w:rFonts w:cstheme="minorHAnsi"/>
                <w:sz w:val="16"/>
                <w:szCs w:val="16"/>
              </w:rPr>
              <w:t>Home</w:t>
            </w:r>
            <w:proofErr w:type="spellEnd"/>
            <w:r w:rsidRPr="00966DD2">
              <w:rPr>
                <w:rFonts w:cstheme="minorHAnsi"/>
                <w:sz w:val="16"/>
                <w:szCs w:val="16"/>
              </w:rPr>
              <w:t xml:space="preserve"> funkce.</w:t>
            </w:r>
          </w:p>
          <w:p w14:paraId="5FB8AB4E" w14:textId="77777777" w:rsidR="00966DD2" w:rsidRDefault="00966DD2" w:rsidP="00486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Přístup přes mobilní aplikaci.</w:t>
            </w:r>
          </w:p>
          <w:p w14:paraId="15E333FA" w14:textId="77777777" w:rsidR="00966DD2" w:rsidRDefault="00966DD2" w:rsidP="00486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 xml:space="preserve">Splňující standardy NIST </w:t>
            </w:r>
            <w:proofErr w:type="gramStart"/>
            <w:r w:rsidRPr="00966DD2">
              <w:rPr>
                <w:rFonts w:cstheme="minorHAnsi"/>
                <w:sz w:val="16"/>
                <w:szCs w:val="16"/>
              </w:rPr>
              <w:t>800-131A</w:t>
            </w:r>
            <w:proofErr w:type="gramEnd"/>
            <w:r w:rsidRPr="00966DD2">
              <w:rPr>
                <w:rFonts w:cstheme="minorHAnsi"/>
                <w:sz w:val="16"/>
                <w:szCs w:val="16"/>
              </w:rPr>
              <w:t xml:space="preserve"> a FIPS 140-2.</w:t>
            </w:r>
          </w:p>
          <w:p w14:paraId="1CA3EA5E" w14:textId="77777777" w:rsidR="00966DD2" w:rsidRDefault="00966DD2" w:rsidP="00486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>Plug-in do management nodů virtualizačních hypervizorů.</w:t>
            </w:r>
          </w:p>
          <w:p w14:paraId="6EB59387" w14:textId="418B6B65" w:rsidR="00966DD2" w:rsidRPr="00966DD2" w:rsidRDefault="00966DD2" w:rsidP="00486C66">
            <w:pPr>
              <w:pStyle w:val="Odstavecseseznamem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966DD2">
              <w:rPr>
                <w:rFonts w:cstheme="minorHAnsi"/>
                <w:sz w:val="16"/>
                <w:szCs w:val="16"/>
              </w:rPr>
              <w:t xml:space="preserve">Podpora REST-API a </w:t>
            </w:r>
            <w:proofErr w:type="spellStart"/>
            <w:r w:rsidRPr="00966DD2">
              <w:rPr>
                <w:rFonts w:cstheme="minorHAnsi"/>
                <w:sz w:val="16"/>
                <w:szCs w:val="16"/>
              </w:rPr>
              <w:t>Redfish</w:t>
            </w:r>
            <w:proofErr w:type="spellEnd"/>
            <w:r w:rsidRPr="00966DD2">
              <w:rPr>
                <w:rFonts w:cstheme="minorHAnsi"/>
                <w:sz w:val="16"/>
                <w:szCs w:val="16"/>
              </w:rPr>
              <w:t xml:space="preserve"> standardů.</w:t>
            </w:r>
          </w:p>
        </w:tc>
        <w:tc>
          <w:tcPr>
            <w:tcW w:w="3288" w:type="dxa"/>
          </w:tcPr>
          <w:p w14:paraId="46E999DA" w14:textId="42716120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  <w:tr w:rsidR="00966DD2" w:rsidRPr="0050706D" w14:paraId="54AAAD52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0006DF" w14:textId="77777777" w:rsidR="00966DD2" w:rsidRPr="00486C66" w:rsidRDefault="005731E8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486C66">
              <w:rPr>
                <w:rFonts w:cstheme="minorHAnsi"/>
                <w:sz w:val="16"/>
                <w:szCs w:val="16"/>
              </w:rPr>
              <w:t>Centrální dohled</w:t>
            </w:r>
          </w:p>
          <w:p w14:paraId="33869865" w14:textId="03B2D11F" w:rsidR="005731E8" w:rsidRPr="005731E8" w:rsidRDefault="005731E8" w:rsidP="00486C66">
            <w:pPr>
              <w:pStyle w:val="Odstavecseseznamem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 xml:space="preserve">Napojení na systém centralizované vzdálené správy a </w:t>
            </w:r>
            <w:proofErr w:type="gramStart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>dohledu - Dell</w:t>
            </w:r>
            <w:proofErr w:type="gramEnd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>OpenManage</w:t>
            </w:r>
            <w:proofErr w:type="spellEnd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 xml:space="preserve"> nebo </w:t>
            </w:r>
            <w:proofErr w:type="spellStart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>Lenovo</w:t>
            </w:r>
            <w:proofErr w:type="spellEnd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>xClariry</w:t>
            </w:r>
            <w:proofErr w:type="spellEnd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 xml:space="preserve">, bez nutnosti pořizovat, instalovat či provozovat jakýkoliv další software, server nebo </w:t>
            </w:r>
            <w:proofErr w:type="spellStart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>appliance</w:t>
            </w:r>
            <w:proofErr w:type="spellEnd"/>
            <w:r w:rsidRPr="00486C66">
              <w:rPr>
                <w:rStyle w:val="normaltextrun"/>
                <w:rFonts w:ascii="Verdana" w:hAnsi="Verdana"/>
                <w:sz w:val="16"/>
                <w:szCs w:val="16"/>
              </w:rPr>
              <w:t>.</w:t>
            </w:r>
            <w:bookmarkStart w:id="8" w:name="_GoBack"/>
            <w:bookmarkEnd w:id="8"/>
          </w:p>
        </w:tc>
        <w:tc>
          <w:tcPr>
            <w:tcW w:w="3288" w:type="dxa"/>
          </w:tcPr>
          <w:p w14:paraId="4D9127A4" w14:textId="77777777" w:rsidR="00966DD2" w:rsidRPr="00E539AF" w:rsidRDefault="00966DD2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5731E8" w:rsidRPr="0050706D" w14:paraId="112D5279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77E0D5E" w14:textId="2C0514DB" w:rsidR="005731E8" w:rsidRPr="00E539AF" w:rsidRDefault="005731E8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539AF">
              <w:rPr>
                <w:rFonts w:cstheme="minorHAnsi"/>
                <w:sz w:val="16"/>
                <w:szCs w:val="16"/>
              </w:rPr>
              <w:t>Potvrzení od lokálního zastoupení výrobce, že nabízený har</w:t>
            </w:r>
            <w:r>
              <w:rPr>
                <w:rFonts w:cstheme="minorHAnsi"/>
                <w:sz w:val="16"/>
                <w:szCs w:val="16"/>
              </w:rPr>
              <w:t>d</w:t>
            </w:r>
            <w:r w:rsidRPr="00E539AF">
              <w:rPr>
                <w:rFonts w:cstheme="minorHAnsi"/>
                <w:sz w:val="16"/>
                <w:szCs w:val="16"/>
              </w:rPr>
              <w:t xml:space="preserve">ware je nový, nepoužitý, je určen pro </w:t>
            </w:r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EU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trh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a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bude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servisním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střediskem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výrobce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plně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539AF">
              <w:rPr>
                <w:rFonts w:cstheme="minorHAnsi"/>
                <w:sz w:val="16"/>
                <w:szCs w:val="16"/>
                <w:lang w:val="en-US"/>
              </w:rPr>
              <w:t>podporován</w:t>
            </w:r>
            <w:proofErr w:type="spellEnd"/>
            <w:r w:rsidRPr="00E539AF">
              <w:rPr>
                <w:rFonts w:cstheme="minorHAnsi"/>
                <w:sz w:val="16"/>
                <w:szCs w:val="16"/>
                <w:lang w:val="en-US"/>
              </w:rPr>
              <w:t>.</w:t>
            </w:r>
          </w:p>
        </w:tc>
        <w:tc>
          <w:tcPr>
            <w:tcW w:w="3288" w:type="dxa"/>
          </w:tcPr>
          <w:p w14:paraId="09D37B49" w14:textId="3ACB3ABC" w:rsidR="005731E8" w:rsidRPr="00342896" w:rsidRDefault="005731E8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green"/>
              </w:rPr>
            </w:pPr>
            <w:r w:rsidRPr="00342896">
              <w:rPr>
                <w:sz w:val="16"/>
                <w:szCs w:val="16"/>
                <w:highlight w:val="green"/>
              </w:rPr>
              <w:t>[DOPLNÍ PRODÁVAJÍCÍ</w:t>
            </w:r>
            <w:r w:rsidRPr="00342896">
              <w:rPr>
                <w:sz w:val="16"/>
                <w:szCs w:val="16"/>
              </w:rPr>
              <w:t>]</w:t>
            </w:r>
          </w:p>
        </w:tc>
      </w:tr>
      <w:tr w:rsidR="00966DD2" w:rsidRPr="0050706D" w14:paraId="3F0126A7" w14:textId="77777777" w:rsidTr="003267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D9B8B9C" w14:textId="29016B06" w:rsidR="00966DD2" w:rsidRPr="00E539AF" w:rsidRDefault="00966DD2" w:rsidP="00966DD2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3288" w:type="dxa"/>
          </w:tcPr>
          <w:p w14:paraId="1347A7E8" w14:textId="7839E224" w:rsidR="00326779" w:rsidRPr="00E539AF" w:rsidRDefault="00326779" w:rsidP="00966DD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</w:tr>
    </w:tbl>
    <w:p w14:paraId="1AE8BF7C" w14:textId="2A97DF71" w:rsidR="00326779" w:rsidRDefault="000E00D4" w:rsidP="005731E8">
      <w:pPr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</w:rPr>
        <w:t xml:space="preserve">   </w:t>
      </w:r>
    </w:p>
    <w:p w14:paraId="6114256F" w14:textId="6E06AF1E" w:rsidR="008043F0" w:rsidRDefault="008043F0" w:rsidP="008043F0">
      <w:pPr>
        <w:ind w:firstLine="426"/>
      </w:pPr>
      <w:r>
        <w:t>b)</w:t>
      </w:r>
      <w:r>
        <w:tab/>
      </w:r>
      <w:r>
        <w:rPr>
          <w:b/>
          <w:bCs/>
          <w:lang w:eastAsia="cs-CZ"/>
        </w:rPr>
        <w:t>Rozšíření diskového pole</w:t>
      </w:r>
    </w:p>
    <w:p w14:paraId="5CECF029" w14:textId="77777777" w:rsidR="008043F0" w:rsidRDefault="008043F0" w:rsidP="008043F0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E31899">
        <w:rPr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8043F0" w:rsidRPr="0050706D" w14:paraId="1DB67ECE" w14:textId="77777777" w:rsidTr="006813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08C63C39" w14:textId="77777777" w:rsidR="008043F0" w:rsidRPr="00E539AF" w:rsidRDefault="008043F0" w:rsidP="0068130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8011CB1" w14:textId="77777777" w:rsidR="008043F0" w:rsidRPr="00E539AF" w:rsidRDefault="008043F0" w:rsidP="0068130D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8043F0" w:rsidRPr="0050706D" w14:paraId="6ED65449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D2B69C4" w14:textId="0027B636" w:rsidR="008043F0" w:rsidRPr="00E539AF" w:rsidRDefault="006B50F0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B50F0">
              <w:rPr>
                <w:rFonts w:cstheme="minorHAnsi"/>
                <w:sz w:val="16"/>
                <w:szCs w:val="16"/>
              </w:rPr>
              <w:t xml:space="preserve">Rozšíření stávajícího diskového pole IBM </w:t>
            </w:r>
            <w:proofErr w:type="spellStart"/>
            <w:r w:rsidRPr="006B50F0">
              <w:rPr>
                <w:rFonts w:cstheme="minorHAnsi"/>
                <w:sz w:val="16"/>
                <w:szCs w:val="16"/>
              </w:rPr>
              <w:t>Flashsystem</w:t>
            </w:r>
            <w:proofErr w:type="spellEnd"/>
            <w:r w:rsidRPr="006B50F0">
              <w:rPr>
                <w:rFonts w:cstheme="minorHAnsi"/>
                <w:sz w:val="16"/>
                <w:szCs w:val="16"/>
              </w:rPr>
              <w:t xml:space="preserve"> 7300 Model 4657-924 o 100TB čisté kapacity </w:t>
            </w:r>
            <w:proofErr w:type="gramStart"/>
            <w:r w:rsidRPr="006B50F0">
              <w:rPr>
                <w:rFonts w:cstheme="minorHAnsi"/>
                <w:sz w:val="16"/>
                <w:szCs w:val="16"/>
              </w:rPr>
              <w:t xml:space="preserve">pomocí  </w:t>
            </w:r>
            <w:proofErr w:type="spellStart"/>
            <w:r w:rsidRPr="006B50F0">
              <w:rPr>
                <w:rFonts w:cstheme="minorHAnsi"/>
                <w:sz w:val="16"/>
                <w:szCs w:val="16"/>
              </w:rPr>
              <w:t>NVMe</w:t>
            </w:r>
            <w:proofErr w:type="spellEnd"/>
            <w:proofErr w:type="gramEnd"/>
            <w:r w:rsidRPr="006B50F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50F0">
              <w:rPr>
                <w:rFonts w:cstheme="minorHAnsi"/>
                <w:sz w:val="16"/>
                <w:szCs w:val="16"/>
              </w:rPr>
              <w:t>Flash</w:t>
            </w:r>
            <w:proofErr w:type="spellEnd"/>
            <w:r w:rsidRPr="006B50F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B50F0">
              <w:rPr>
                <w:rFonts w:cstheme="minorHAnsi"/>
                <w:sz w:val="16"/>
                <w:szCs w:val="16"/>
              </w:rPr>
              <w:t>Core</w:t>
            </w:r>
            <w:proofErr w:type="spellEnd"/>
            <w:r w:rsidRPr="006B50F0">
              <w:rPr>
                <w:rFonts w:cstheme="minorHAnsi"/>
                <w:sz w:val="16"/>
                <w:szCs w:val="16"/>
              </w:rPr>
              <w:t xml:space="preserve"> modulů 19.2TB (2.5” </w:t>
            </w:r>
            <w:proofErr w:type="spellStart"/>
            <w:r w:rsidRPr="006B50F0">
              <w:rPr>
                <w:rFonts w:cstheme="minorHAnsi"/>
                <w:sz w:val="16"/>
                <w:szCs w:val="16"/>
              </w:rPr>
              <w:t>NVMe</w:t>
            </w:r>
            <w:proofErr w:type="spellEnd"/>
            <w:r w:rsidRPr="006B50F0">
              <w:rPr>
                <w:rFonts w:cstheme="minorHAnsi"/>
                <w:sz w:val="16"/>
                <w:szCs w:val="16"/>
              </w:rPr>
              <w:t xml:space="preserve"> FCM3 moduly 4657-924-ADSC)</w:t>
            </w:r>
          </w:p>
        </w:tc>
        <w:tc>
          <w:tcPr>
            <w:tcW w:w="3288" w:type="dxa"/>
          </w:tcPr>
          <w:p w14:paraId="0585889B" w14:textId="77777777" w:rsidR="008043F0" w:rsidRPr="00B40A66" w:rsidRDefault="008043F0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</w:tbl>
    <w:p w14:paraId="79420CC4" w14:textId="27703733" w:rsidR="008043F0" w:rsidRDefault="008043F0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6EAAA9FA" w14:textId="760AA75D" w:rsidR="000340ED" w:rsidRDefault="000340ED" w:rsidP="000340ED">
      <w:pPr>
        <w:ind w:firstLine="426"/>
      </w:pPr>
      <w:r w:rsidRPr="00A17A0F">
        <w:rPr>
          <w:rFonts w:asciiTheme="majorHAnsi" w:eastAsia="Times New Roman" w:hAnsiTheme="majorHAnsi" w:cs="Arial"/>
          <w:bCs/>
          <w:iCs/>
        </w:rPr>
        <w:t xml:space="preserve">     </w:t>
      </w:r>
      <w:r w:rsidR="008B4E13">
        <w:rPr>
          <w:rFonts w:asciiTheme="majorHAnsi" w:eastAsia="Times New Roman" w:hAnsiTheme="majorHAnsi" w:cs="Arial"/>
          <w:bCs/>
          <w:iCs/>
        </w:rPr>
        <w:t>c</w:t>
      </w:r>
      <w:r>
        <w:t>)</w:t>
      </w:r>
      <w:r>
        <w:tab/>
      </w:r>
      <w:r>
        <w:rPr>
          <w:b/>
          <w:bCs/>
          <w:lang w:eastAsia="cs-CZ"/>
        </w:rPr>
        <w:t>Software a licence</w:t>
      </w:r>
    </w:p>
    <w:p w14:paraId="2447C459" w14:textId="77777777" w:rsidR="000340ED" w:rsidRDefault="000340ED" w:rsidP="000340ED">
      <w:pPr>
        <w:ind w:firstLine="426"/>
      </w:pPr>
      <w:r w:rsidRPr="00E31899">
        <w:rPr>
          <w:highlight w:val="green"/>
          <w:lang w:val="en-US"/>
        </w:rPr>
        <w:t>[</w:t>
      </w:r>
      <w:proofErr w:type="spellStart"/>
      <w:r w:rsidRPr="00E31899">
        <w:rPr>
          <w:highlight w:val="green"/>
          <w:lang w:val="en-US"/>
        </w:rPr>
        <w:t>i</w:t>
      </w:r>
      <w:r w:rsidRPr="00E31899">
        <w:rPr>
          <w:rFonts w:cstheme="minorHAnsi"/>
          <w:b/>
          <w:bCs/>
          <w:highlight w:val="green"/>
        </w:rPr>
        <w:t>dentifikace</w:t>
      </w:r>
      <w:proofErr w:type="spellEnd"/>
      <w:r w:rsidRPr="00E31899">
        <w:rPr>
          <w:rFonts w:cstheme="minorHAnsi"/>
          <w:b/>
          <w:bCs/>
          <w:highlight w:val="green"/>
        </w:rPr>
        <w:t xml:space="preserve"> modelu - 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0340ED" w:rsidRPr="0050706D" w14:paraId="2C7EA1AF" w14:textId="77777777" w:rsidTr="006813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0444CCA" w14:textId="77777777" w:rsidR="000340ED" w:rsidRPr="00E539AF" w:rsidRDefault="000340ED" w:rsidP="0068130D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0742E602" w14:textId="77777777" w:rsidR="000340ED" w:rsidRPr="00E539AF" w:rsidRDefault="000340ED" w:rsidP="0068130D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</w:rPr>
            </w:pPr>
            <w:r w:rsidRPr="00E539AF">
              <w:rPr>
                <w:rFonts w:cstheme="minorHAnsi"/>
                <w:b/>
                <w:bCs/>
                <w:sz w:val="16"/>
                <w:szCs w:val="16"/>
              </w:rPr>
              <w:t>Nabízené řešení</w:t>
            </w:r>
          </w:p>
        </w:tc>
      </w:tr>
      <w:tr w:rsidR="000340ED" w:rsidRPr="0050706D" w14:paraId="121C1757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9C41E2A" w14:textId="77777777" w:rsidR="000340ED" w:rsidRDefault="00640DC7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640DC7">
              <w:rPr>
                <w:rFonts w:cstheme="minorHAnsi"/>
                <w:sz w:val="16"/>
                <w:szCs w:val="16"/>
              </w:rPr>
              <w:t xml:space="preserve">Zadavatel požaduje doplnění licencí </w:t>
            </w:r>
            <w:proofErr w:type="spellStart"/>
            <w:r w:rsidRPr="00640DC7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640DC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40DC7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640DC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40DC7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640DC7">
              <w:rPr>
                <w:rFonts w:cstheme="minorHAnsi"/>
                <w:sz w:val="16"/>
                <w:szCs w:val="16"/>
              </w:rPr>
              <w:t xml:space="preserve"> Plus verze 7 nebo vyšší současného clusteru tak, aby mohli být použity pro všech 11 popsaných serverů, a to včetně supportu na 5 let.</w:t>
            </w:r>
          </w:p>
          <w:p w14:paraId="31ABE5E3" w14:textId="77777777" w:rsidR="00E00CFF" w:rsidRDefault="00E00CFF" w:rsidP="0068130D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Správa železnic použije stávající licence:</w:t>
            </w:r>
          </w:p>
          <w:p w14:paraId="49FA8B63" w14:textId="7C822B95" w:rsidR="00E00CFF" w:rsidRPr="00E00CFF" w:rsidRDefault="00E00CFF" w:rsidP="00E00CF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E00CFF">
              <w:rPr>
                <w:rFonts w:cstheme="minorHAnsi"/>
                <w:sz w:val="16"/>
                <w:szCs w:val="16"/>
              </w:rPr>
              <w:t>vSphere</w:t>
            </w:r>
            <w:proofErr w:type="spellEnd"/>
            <w:r w:rsidRPr="00E00CF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00CFF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E00CFF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00CFF">
              <w:rPr>
                <w:rFonts w:cstheme="minorHAnsi"/>
                <w:sz w:val="16"/>
                <w:szCs w:val="16"/>
              </w:rPr>
              <w:t>Operations</w:t>
            </w:r>
            <w:proofErr w:type="spellEnd"/>
            <w:r w:rsidRPr="00E00CFF">
              <w:rPr>
                <w:rFonts w:cstheme="minorHAnsi"/>
                <w:sz w:val="16"/>
                <w:szCs w:val="16"/>
              </w:rPr>
              <w:t xml:space="preserve"> Management 6 </w:t>
            </w:r>
            <w:proofErr w:type="spellStart"/>
            <w:r w:rsidRPr="00E00CFF">
              <w:rPr>
                <w:rFonts w:cstheme="minorHAnsi"/>
                <w:sz w:val="16"/>
                <w:szCs w:val="16"/>
              </w:rPr>
              <w:t>Enterprise</w:t>
            </w:r>
            <w:proofErr w:type="spellEnd"/>
            <w:r w:rsidRPr="00E00CFF">
              <w:rPr>
                <w:rFonts w:cstheme="minorHAnsi"/>
                <w:sz w:val="16"/>
                <w:szCs w:val="16"/>
              </w:rPr>
              <w:t xml:space="preserve"> Plus</w:t>
            </w:r>
            <w:r w:rsidRPr="00E00CFF">
              <w:rPr>
                <w:rFonts w:cstheme="minorHAnsi"/>
                <w:sz w:val="16"/>
                <w:szCs w:val="16"/>
              </w:rPr>
              <w:tab/>
              <w:t>1</w:t>
            </w:r>
            <w:r>
              <w:rPr>
                <w:rFonts w:cstheme="minorHAnsi"/>
                <w:sz w:val="16"/>
                <w:szCs w:val="16"/>
              </w:rPr>
              <w:t>8</w:t>
            </w:r>
            <w:r w:rsidRPr="00E00CFF">
              <w:rPr>
                <w:rFonts w:cstheme="minorHAnsi"/>
                <w:sz w:val="16"/>
                <w:szCs w:val="16"/>
              </w:rPr>
              <w:tab/>
              <w:t>CPU(s)</w:t>
            </w:r>
          </w:p>
          <w:p w14:paraId="4455EB81" w14:textId="77777777" w:rsidR="00E00CFF" w:rsidRDefault="00E00CFF" w:rsidP="00E00CF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proofErr w:type="spellStart"/>
            <w:r w:rsidRPr="00E00CFF">
              <w:rPr>
                <w:rFonts w:cstheme="minorHAnsi"/>
                <w:sz w:val="16"/>
                <w:szCs w:val="16"/>
              </w:rPr>
              <w:t>vCenter</w:t>
            </w:r>
            <w:proofErr w:type="spellEnd"/>
            <w:r w:rsidRPr="00E00CFF">
              <w:rPr>
                <w:rFonts w:cstheme="minorHAnsi"/>
                <w:sz w:val="16"/>
                <w:szCs w:val="16"/>
              </w:rPr>
              <w:t xml:space="preserve"> Server 7 Standard</w:t>
            </w:r>
            <w:r w:rsidRPr="00E00CFF">
              <w:rPr>
                <w:rFonts w:cstheme="minorHAnsi"/>
                <w:sz w:val="16"/>
                <w:szCs w:val="16"/>
              </w:rPr>
              <w:tab/>
            </w:r>
          </w:p>
          <w:p w14:paraId="110D90F1" w14:textId="3D0A045B" w:rsidR="00E00CFF" w:rsidRPr="00E539AF" w:rsidRDefault="00E00CFF" w:rsidP="00E00CFF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E00CFF">
              <w:rPr>
                <w:rFonts w:cstheme="minorHAnsi"/>
                <w:sz w:val="16"/>
                <w:szCs w:val="16"/>
              </w:rPr>
              <w:tab/>
              <w:t>1</w:t>
            </w:r>
            <w:r w:rsidRPr="00E00CFF">
              <w:rPr>
                <w:rFonts w:cstheme="minorHAnsi"/>
                <w:sz w:val="16"/>
                <w:szCs w:val="16"/>
              </w:rPr>
              <w:tab/>
              <w:t>INSTANCE(s)</w:t>
            </w:r>
          </w:p>
        </w:tc>
        <w:tc>
          <w:tcPr>
            <w:tcW w:w="3288" w:type="dxa"/>
          </w:tcPr>
          <w:p w14:paraId="507E2346" w14:textId="77777777" w:rsidR="000340ED" w:rsidRPr="00B40A66" w:rsidRDefault="000340ED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sz w:val="16"/>
                <w:szCs w:val="16"/>
                <w:highlight w:val="green"/>
              </w:rPr>
              <w:t>[</w:t>
            </w:r>
            <w:r w:rsidRPr="00B40A66">
              <w:rPr>
                <w:sz w:val="16"/>
                <w:szCs w:val="16"/>
                <w:highlight w:val="green"/>
              </w:rPr>
              <w:t>DOPLNÍ PRODÁVAJÍCÍ</w:t>
            </w:r>
            <w:r>
              <w:rPr>
                <w:sz w:val="16"/>
                <w:szCs w:val="16"/>
              </w:rPr>
              <w:t>]</w:t>
            </w:r>
          </w:p>
        </w:tc>
      </w:tr>
      <w:tr w:rsidR="000340ED" w:rsidRPr="0050706D" w14:paraId="4ED04FAC" w14:textId="77777777" w:rsidTr="006813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81F83AE" w14:textId="7DADB2F7" w:rsidR="000340ED" w:rsidRPr="00B22A7C" w:rsidRDefault="00B22A7C" w:rsidP="00B22A7C">
            <w:pPr>
              <w:autoSpaceDE w:val="0"/>
              <w:autoSpaceDN w:val="0"/>
              <w:adjustRightInd w:val="0"/>
              <w:rPr>
                <w:rFonts w:cstheme="minorHAnsi"/>
                <w:sz w:val="16"/>
                <w:szCs w:val="16"/>
              </w:rPr>
            </w:pPr>
            <w:r w:rsidRPr="00B22A7C">
              <w:rPr>
                <w:rFonts w:cstheme="minorHAnsi"/>
                <w:sz w:val="16"/>
                <w:szCs w:val="16"/>
              </w:rPr>
              <w:t xml:space="preserve">Zadavatel požaduje též doplnění licencí na </w:t>
            </w:r>
            <w:proofErr w:type="spellStart"/>
            <w:r w:rsidRPr="00B22A7C">
              <w:rPr>
                <w:rFonts w:cstheme="minorHAnsi"/>
                <w:sz w:val="16"/>
                <w:szCs w:val="16"/>
              </w:rPr>
              <w:t>Vmware</w:t>
            </w:r>
            <w:proofErr w:type="spellEnd"/>
            <w:r w:rsidRPr="00B22A7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22A7C">
              <w:rPr>
                <w:rFonts w:cstheme="minorHAnsi"/>
                <w:sz w:val="16"/>
                <w:szCs w:val="16"/>
              </w:rPr>
              <w:t>vRealize</w:t>
            </w:r>
            <w:proofErr w:type="spellEnd"/>
            <w:r w:rsidRPr="00B22A7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22A7C">
              <w:rPr>
                <w:rFonts w:cstheme="minorHAnsi"/>
                <w:sz w:val="16"/>
                <w:szCs w:val="16"/>
              </w:rPr>
              <w:t>Operation</w:t>
            </w:r>
            <w:proofErr w:type="spellEnd"/>
            <w:r w:rsidRPr="00B22A7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22A7C">
              <w:rPr>
                <w:rFonts w:cstheme="minorHAnsi"/>
                <w:sz w:val="16"/>
                <w:szCs w:val="16"/>
              </w:rPr>
              <w:t>Manager</w:t>
            </w:r>
            <w:proofErr w:type="spellEnd"/>
            <w:r w:rsidR="000340ED" w:rsidRPr="00B22A7C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3288" w:type="dxa"/>
          </w:tcPr>
          <w:p w14:paraId="2C0B7690" w14:textId="77777777" w:rsidR="000340ED" w:rsidRPr="00E539AF" w:rsidRDefault="000340ED" w:rsidP="0068130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2F1E94">
              <w:rPr>
                <w:sz w:val="16"/>
                <w:szCs w:val="16"/>
                <w:highlight w:val="green"/>
              </w:rPr>
              <w:t>[DOPLNÍ PRODÁVAJÍCÍ</w:t>
            </w:r>
            <w:r w:rsidRPr="002F1E94">
              <w:rPr>
                <w:sz w:val="16"/>
                <w:szCs w:val="16"/>
              </w:rPr>
              <w:t>]</w:t>
            </w:r>
          </w:p>
        </w:tc>
      </w:tr>
    </w:tbl>
    <w:p w14:paraId="2D0DB0A7" w14:textId="77777777" w:rsidR="008043F0" w:rsidRDefault="008043F0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ind w:left="567" w:hanging="851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BE9E2AA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6A97970" w14:textId="77777777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EA483D1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</w:t>
      </w:r>
      <w:r w:rsidRPr="00221465">
        <w:rPr>
          <w:rFonts w:asciiTheme="majorHAnsi" w:eastAsia="Times New Roman" w:hAnsiTheme="majorHAnsi" w:cs="Arial"/>
          <w:bCs/>
          <w:iCs/>
        </w:rPr>
        <w:lastRenderedPageBreak/>
        <w:t xml:space="preserve">a k užívání Hardware, a to: </w:t>
      </w:r>
    </w:p>
    <w:p w14:paraId="0861E9BB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0E00D4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5EE451D3" w14:textId="77777777" w:rsidR="00087D48" w:rsidRPr="00221465" w:rsidRDefault="00087D48" w:rsidP="00486C66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4"/>
      <w:bookmarkEnd w:id="5"/>
      <w:bookmarkEnd w:id="6"/>
      <w:bookmarkEnd w:id="7"/>
    </w:p>
    <w:p w14:paraId="1647CD5D" w14:textId="77777777" w:rsidR="00B623EA" w:rsidRPr="006309C9" w:rsidRDefault="00B623EA" w:rsidP="00B623EA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  <w:rPr>
          <w:rFonts w:eastAsia="Calibri" w:cs="Times New Roman"/>
        </w:rPr>
      </w:pPr>
      <w:bookmarkStart w:id="9" w:name="_Toc517632208"/>
      <w:bookmarkStart w:id="10" w:name="_Toc517978985"/>
      <w:bookmarkStart w:id="11" w:name="_Toc518251182"/>
      <w:bookmarkStart w:id="12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 lokalitě </w:t>
      </w:r>
    </w:p>
    <w:p w14:paraId="5B9E319D" w14:textId="7B256993" w:rsidR="00B623EA" w:rsidRPr="006309C9" w:rsidRDefault="00B623EA" w:rsidP="00486C66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Montáž dodaného </w:t>
      </w:r>
      <w:r>
        <w:t>Hardware</w:t>
      </w:r>
      <w:r w:rsidRPr="006309C9">
        <w:t xml:space="preserve"> do racku zadavatele </w:t>
      </w:r>
    </w:p>
    <w:p w14:paraId="29371752" w14:textId="77777777" w:rsidR="00B623EA" w:rsidRPr="006309C9" w:rsidRDefault="00B623EA" w:rsidP="00486C66">
      <w:pPr>
        <w:pStyle w:val="Odstavecseseznamem"/>
        <w:numPr>
          <w:ilvl w:val="0"/>
          <w:numId w:val="7"/>
        </w:numPr>
        <w:spacing w:after="160" w:line="259" w:lineRule="auto"/>
        <w:ind w:firstLine="632"/>
      </w:pPr>
      <w:r w:rsidRPr="006309C9">
        <w:t>Diskové pole</w:t>
      </w:r>
    </w:p>
    <w:p w14:paraId="35A200FB" w14:textId="0AD4A66C" w:rsidR="00385458" w:rsidRPr="006309C9" w:rsidRDefault="00B623EA" w:rsidP="00486C66">
      <w:pPr>
        <w:pStyle w:val="Odstavecseseznamem"/>
        <w:numPr>
          <w:ilvl w:val="0"/>
          <w:numId w:val="6"/>
        </w:numPr>
        <w:spacing w:after="160" w:line="259" w:lineRule="auto"/>
        <w:ind w:hanging="356"/>
      </w:pPr>
      <w:r w:rsidRPr="006309C9">
        <w:t xml:space="preserve">Konfigurace dodaného </w:t>
      </w:r>
      <w:r>
        <w:t>Hardware</w:t>
      </w:r>
      <w:r w:rsidRPr="006309C9">
        <w:t xml:space="preserve"> do prostředí zadavatele</w:t>
      </w:r>
    </w:p>
    <w:p w14:paraId="13FCDD64" w14:textId="725F5045" w:rsidR="00087D48" w:rsidRPr="00221465" w:rsidRDefault="00B623EA" w:rsidP="00E31899">
      <w:pPr>
        <w:keepNext/>
        <w:keepLines/>
        <w:spacing w:after="120" w:line="266" w:lineRule="auto"/>
        <w:ind w:left="-6" w:hanging="42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6309C9">
        <w:rPr>
          <w:rFonts w:eastAsia="Calibri" w:cs="Times New Roman"/>
        </w:rPr>
        <w:tab/>
      </w:r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9"/>
      <w:bookmarkEnd w:id="10"/>
      <w:bookmarkEnd w:id="11"/>
      <w:bookmarkEnd w:id="12"/>
      <w:r w:rsidR="00087D48"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535CC00F" w14:textId="77777777" w:rsidTr="00805A75">
        <w:tc>
          <w:tcPr>
            <w:tcW w:w="8720" w:type="dxa"/>
            <w:gridSpan w:val="2"/>
            <w:shd w:val="clear" w:color="auto" w:fill="D9D9D9"/>
          </w:tcPr>
          <w:p w14:paraId="56033032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7A77B620" w14:textId="77777777" w:rsidTr="00805A75">
        <w:tc>
          <w:tcPr>
            <w:tcW w:w="4346" w:type="dxa"/>
          </w:tcPr>
          <w:p w14:paraId="2840EDB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5DED7A3F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053AFD7" w14:textId="77777777" w:rsidTr="00805A75">
        <w:tc>
          <w:tcPr>
            <w:tcW w:w="4346" w:type="dxa"/>
          </w:tcPr>
          <w:p w14:paraId="5D92D166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47825EC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7898A202" w14:textId="77777777" w:rsidTr="00805A75">
        <w:tc>
          <w:tcPr>
            <w:tcW w:w="4346" w:type="dxa"/>
          </w:tcPr>
          <w:p w14:paraId="558DB487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8538EC3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128C1865" w14:textId="77777777" w:rsidR="00087D48" w:rsidRPr="00221465" w:rsidRDefault="00087D48" w:rsidP="00486C66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3" w:name="_Toc517632209"/>
      <w:bookmarkStart w:id="14" w:name="_Toc517978986"/>
      <w:bookmarkStart w:id="15" w:name="_Toc518251183"/>
      <w:bookmarkStart w:id="16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7" w:name="_Toc517632210"/>
      <w:bookmarkStart w:id="18" w:name="_Toc517978987"/>
      <w:bookmarkStart w:id="19" w:name="_Toc518251184"/>
      <w:bookmarkStart w:id="20" w:name="_Toc533063760"/>
      <w:bookmarkEnd w:id="13"/>
      <w:bookmarkEnd w:id="14"/>
      <w:bookmarkEnd w:id="15"/>
      <w:bookmarkEnd w:id="16"/>
    </w:p>
    <w:p w14:paraId="19519E66" w14:textId="77777777" w:rsidR="00501E7E" w:rsidRPr="00501E7E" w:rsidRDefault="00501E7E" w:rsidP="00501E7E">
      <w:pPr>
        <w:keepNext/>
        <w:spacing w:before="240" w:after="0" w:line="240" w:lineRule="auto"/>
        <w:ind w:left="567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7ED574D2" w14:textId="3400AF4B" w:rsidR="00087D48" w:rsidRPr="00221465" w:rsidRDefault="00087D48" w:rsidP="00486C66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7"/>
      <w:bookmarkEnd w:id="18"/>
      <w:bookmarkEnd w:id="19"/>
      <w:bookmarkEnd w:id="20"/>
    </w:p>
    <w:p w14:paraId="21C826B6" w14:textId="77777777" w:rsidR="00950F03" w:rsidRPr="00950F03" w:rsidRDefault="00501E7E" w:rsidP="00950F03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Calibri" w:cs="Times New Roman"/>
        </w:rPr>
      </w:pPr>
      <w:r>
        <w:rPr>
          <w:rFonts w:asciiTheme="majorHAnsi" w:eastAsia="Times New Roman" w:hAnsiTheme="majorHAnsi" w:cs="Arial"/>
          <w:bCs/>
          <w:iCs/>
        </w:rPr>
        <w:tab/>
      </w:r>
    </w:p>
    <w:p w14:paraId="745D29F7" w14:textId="2DF507FB" w:rsidR="00950F03" w:rsidRPr="00950F03" w:rsidRDefault="00950F03" w:rsidP="00950F03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 xml:space="preserve">Podmínky akceptačního řízení dle čl. 8 Zvláštních obchodních podmínek se neuplatní. O předání a </w:t>
      </w:r>
      <w:proofErr w:type="gramStart"/>
      <w:r w:rsidRPr="00950F03">
        <w:rPr>
          <w:rFonts w:eastAsia="Calibri" w:cs="Times New Roman"/>
        </w:rPr>
        <w:t>převzetí  Hardware</w:t>
      </w:r>
      <w:proofErr w:type="gramEnd"/>
      <w:r w:rsidRPr="00950F03">
        <w:rPr>
          <w:rFonts w:eastAsia="Calibri" w:cs="Times New Roman"/>
        </w:rPr>
        <w:t xml:space="preserve"> dle čl. 2 této přílohy bude sepsán a oboustranně podepsán předávací protokol o dodání Hardware</w:t>
      </w:r>
      <w:r>
        <w:rPr>
          <w:rFonts w:eastAsia="Calibri" w:cs="Times New Roman"/>
        </w:rPr>
        <w:t xml:space="preserve">, a to po </w:t>
      </w:r>
      <w:r w:rsidR="00174BE9">
        <w:rPr>
          <w:rFonts w:eastAsia="Calibri" w:cs="Times New Roman"/>
        </w:rPr>
        <w:t>instalaci</w:t>
      </w:r>
      <w:r w:rsidR="004907EB">
        <w:rPr>
          <w:rFonts w:eastAsia="Calibri" w:cs="Times New Roman"/>
        </w:rPr>
        <w:t xml:space="preserve"> a konfiguraci</w:t>
      </w:r>
      <w:r w:rsidR="00174BE9" w:rsidRPr="00174BE9">
        <w:rPr>
          <w:rFonts w:eastAsia="Calibri" w:cs="Times New Roman"/>
        </w:rPr>
        <w:t xml:space="preserve"> dodaného Hardware v lokalitě</w:t>
      </w:r>
      <w:r w:rsidRPr="00950F03">
        <w:rPr>
          <w:rFonts w:eastAsia="Calibri" w:cs="Times New Roman"/>
        </w:rPr>
        <w:t>.</w:t>
      </w:r>
    </w:p>
    <w:p w14:paraId="4A92F3B2" w14:textId="77777777" w:rsidR="00087D48" w:rsidRPr="00221465" w:rsidRDefault="00087D48" w:rsidP="00486C66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1" w:name="_Toc517632211"/>
      <w:bookmarkStart w:id="22" w:name="_Toc517978988"/>
      <w:bookmarkStart w:id="23" w:name="_Toc518251185"/>
      <w:bookmarkStart w:id="24" w:name="_Toc533063761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21"/>
      <w:bookmarkEnd w:id="22"/>
      <w:bookmarkEnd w:id="23"/>
      <w:bookmarkEnd w:id="24"/>
    </w:p>
    <w:p w14:paraId="080953A9" w14:textId="027E5961" w:rsidR="009F392E" w:rsidRPr="00F0533E" w:rsidRDefault="00E31899" w:rsidP="00501E7E">
      <w:pPr>
        <w:ind w:firstLine="567"/>
      </w:pPr>
      <w:bookmarkStart w:id="25" w:name="_Ref514349626"/>
      <w:r>
        <w:rPr>
          <w:rFonts w:asciiTheme="majorHAnsi" w:eastAsia="Times New Roman" w:hAnsiTheme="majorHAnsi" w:cs="Arial"/>
          <w:bCs/>
          <w:iCs/>
        </w:rPr>
        <w:t>Není součástí dodávky.</w:t>
      </w:r>
      <w:bookmarkEnd w:id="25"/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AD414" w14:textId="77777777" w:rsidR="0009384F" w:rsidRDefault="0009384F" w:rsidP="00962258">
      <w:pPr>
        <w:spacing w:after="0" w:line="240" w:lineRule="auto"/>
      </w:pPr>
      <w:r>
        <w:separator/>
      </w:r>
    </w:p>
  </w:endnote>
  <w:endnote w:type="continuationSeparator" w:id="0">
    <w:p w14:paraId="24ABA2B2" w14:textId="77777777" w:rsidR="0009384F" w:rsidRDefault="000938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038182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0CACFA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67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E8B11" w14:textId="77777777" w:rsidR="0009384F" w:rsidRDefault="0009384F" w:rsidP="00962258">
      <w:pPr>
        <w:spacing w:after="0" w:line="240" w:lineRule="auto"/>
      </w:pPr>
      <w:r>
        <w:separator/>
      </w:r>
    </w:p>
  </w:footnote>
  <w:footnote w:type="continuationSeparator" w:id="0">
    <w:p w14:paraId="72E15DFD" w14:textId="77777777" w:rsidR="0009384F" w:rsidRDefault="000938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08232ED"/>
    <w:multiLevelType w:val="hybridMultilevel"/>
    <w:tmpl w:val="D3F27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24BA0"/>
    <w:multiLevelType w:val="hybridMultilevel"/>
    <w:tmpl w:val="18607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6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69140145"/>
    <w:multiLevelType w:val="hybridMultilevel"/>
    <w:tmpl w:val="AEFCA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258EC"/>
    <w:rsid w:val="00026D60"/>
    <w:rsid w:val="000340ED"/>
    <w:rsid w:val="00072C1E"/>
    <w:rsid w:val="000845B5"/>
    <w:rsid w:val="00087D48"/>
    <w:rsid w:val="0009384F"/>
    <w:rsid w:val="00094116"/>
    <w:rsid w:val="000942C8"/>
    <w:rsid w:val="000B4A87"/>
    <w:rsid w:val="000E00D4"/>
    <w:rsid w:val="000E23A7"/>
    <w:rsid w:val="0010693F"/>
    <w:rsid w:val="00114472"/>
    <w:rsid w:val="00114F3C"/>
    <w:rsid w:val="001364FA"/>
    <w:rsid w:val="001550BC"/>
    <w:rsid w:val="001605B9"/>
    <w:rsid w:val="00170EC5"/>
    <w:rsid w:val="001747C1"/>
    <w:rsid w:val="00174BE9"/>
    <w:rsid w:val="00184743"/>
    <w:rsid w:val="00197089"/>
    <w:rsid w:val="001D004B"/>
    <w:rsid w:val="00207DF5"/>
    <w:rsid w:val="002559BD"/>
    <w:rsid w:val="00280E07"/>
    <w:rsid w:val="00291870"/>
    <w:rsid w:val="002A2C36"/>
    <w:rsid w:val="002C31BF"/>
    <w:rsid w:val="002C7860"/>
    <w:rsid w:val="002D08B1"/>
    <w:rsid w:val="002E0CD7"/>
    <w:rsid w:val="002F3EB3"/>
    <w:rsid w:val="00300682"/>
    <w:rsid w:val="003144EB"/>
    <w:rsid w:val="00326779"/>
    <w:rsid w:val="00341DCF"/>
    <w:rsid w:val="00350B50"/>
    <w:rsid w:val="00357BC6"/>
    <w:rsid w:val="00384EC7"/>
    <w:rsid w:val="00385458"/>
    <w:rsid w:val="00386525"/>
    <w:rsid w:val="00387B22"/>
    <w:rsid w:val="003956C6"/>
    <w:rsid w:val="00400BE9"/>
    <w:rsid w:val="00440277"/>
    <w:rsid w:val="00441430"/>
    <w:rsid w:val="00450F07"/>
    <w:rsid w:val="00453CD3"/>
    <w:rsid w:val="00460660"/>
    <w:rsid w:val="00462616"/>
    <w:rsid w:val="00473C72"/>
    <w:rsid w:val="0048459E"/>
    <w:rsid w:val="00486107"/>
    <w:rsid w:val="00486C66"/>
    <w:rsid w:val="004907EB"/>
    <w:rsid w:val="00490F2A"/>
    <w:rsid w:val="00491827"/>
    <w:rsid w:val="00493E30"/>
    <w:rsid w:val="0049486B"/>
    <w:rsid w:val="004A65F4"/>
    <w:rsid w:val="004A7EEA"/>
    <w:rsid w:val="004B348C"/>
    <w:rsid w:val="004C4399"/>
    <w:rsid w:val="004C5AF4"/>
    <w:rsid w:val="004C787C"/>
    <w:rsid w:val="004D2F42"/>
    <w:rsid w:val="004E143C"/>
    <w:rsid w:val="004E3A53"/>
    <w:rsid w:val="004F20BC"/>
    <w:rsid w:val="004F4B9B"/>
    <w:rsid w:val="004F69EA"/>
    <w:rsid w:val="00501E7E"/>
    <w:rsid w:val="0050706D"/>
    <w:rsid w:val="0051191A"/>
    <w:rsid w:val="00511AB9"/>
    <w:rsid w:val="00523EA7"/>
    <w:rsid w:val="00553375"/>
    <w:rsid w:val="005572F9"/>
    <w:rsid w:val="00557C28"/>
    <w:rsid w:val="005731E8"/>
    <w:rsid w:val="005736B7"/>
    <w:rsid w:val="00575E5A"/>
    <w:rsid w:val="005F1404"/>
    <w:rsid w:val="005F39E3"/>
    <w:rsid w:val="0061068E"/>
    <w:rsid w:val="00640DC7"/>
    <w:rsid w:val="00655924"/>
    <w:rsid w:val="00660AD3"/>
    <w:rsid w:val="00677B7F"/>
    <w:rsid w:val="00693112"/>
    <w:rsid w:val="006A5570"/>
    <w:rsid w:val="006A689C"/>
    <w:rsid w:val="006B3D79"/>
    <w:rsid w:val="006B50F0"/>
    <w:rsid w:val="006C780C"/>
    <w:rsid w:val="006D7AFE"/>
    <w:rsid w:val="006E0578"/>
    <w:rsid w:val="006E314D"/>
    <w:rsid w:val="0070280D"/>
    <w:rsid w:val="00710723"/>
    <w:rsid w:val="007205F7"/>
    <w:rsid w:val="00723ED1"/>
    <w:rsid w:val="00743525"/>
    <w:rsid w:val="0075031C"/>
    <w:rsid w:val="00757599"/>
    <w:rsid w:val="0076286B"/>
    <w:rsid w:val="00766846"/>
    <w:rsid w:val="0077673A"/>
    <w:rsid w:val="007846E1"/>
    <w:rsid w:val="00790081"/>
    <w:rsid w:val="00794E28"/>
    <w:rsid w:val="00796093"/>
    <w:rsid w:val="007964AE"/>
    <w:rsid w:val="007A710F"/>
    <w:rsid w:val="007B570C"/>
    <w:rsid w:val="007C589B"/>
    <w:rsid w:val="007E25D5"/>
    <w:rsid w:val="007E4A6E"/>
    <w:rsid w:val="007E5339"/>
    <w:rsid w:val="007F56A7"/>
    <w:rsid w:val="007F68D4"/>
    <w:rsid w:val="008043F0"/>
    <w:rsid w:val="00807DD0"/>
    <w:rsid w:val="008161AA"/>
    <w:rsid w:val="0083112B"/>
    <w:rsid w:val="00840BC7"/>
    <w:rsid w:val="008519DF"/>
    <w:rsid w:val="008659F3"/>
    <w:rsid w:val="00886D4B"/>
    <w:rsid w:val="00895406"/>
    <w:rsid w:val="008A3568"/>
    <w:rsid w:val="008B4E13"/>
    <w:rsid w:val="008D03B9"/>
    <w:rsid w:val="008D08F7"/>
    <w:rsid w:val="008F18D6"/>
    <w:rsid w:val="00901761"/>
    <w:rsid w:val="00904780"/>
    <w:rsid w:val="00914F0B"/>
    <w:rsid w:val="009211DE"/>
    <w:rsid w:val="00922385"/>
    <w:rsid w:val="009223DF"/>
    <w:rsid w:val="00923DE9"/>
    <w:rsid w:val="00936091"/>
    <w:rsid w:val="00940D8A"/>
    <w:rsid w:val="00941B19"/>
    <w:rsid w:val="00941D20"/>
    <w:rsid w:val="00950F03"/>
    <w:rsid w:val="00962258"/>
    <w:rsid w:val="00966DD2"/>
    <w:rsid w:val="009678B7"/>
    <w:rsid w:val="009833E1"/>
    <w:rsid w:val="00983CAA"/>
    <w:rsid w:val="00992D9C"/>
    <w:rsid w:val="00996CB8"/>
    <w:rsid w:val="009A56F3"/>
    <w:rsid w:val="009B14A9"/>
    <w:rsid w:val="009B2E97"/>
    <w:rsid w:val="009B32C3"/>
    <w:rsid w:val="009C53DE"/>
    <w:rsid w:val="009D6E48"/>
    <w:rsid w:val="009E07F4"/>
    <w:rsid w:val="009F392E"/>
    <w:rsid w:val="00A6177B"/>
    <w:rsid w:val="00A66136"/>
    <w:rsid w:val="00A8387F"/>
    <w:rsid w:val="00AA4CBB"/>
    <w:rsid w:val="00AA65FA"/>
    <w:rsid w:val="00AA7351"/>
    <w:rsid w:val="00AB03E6"/>
    <w:rsid w:val="00AB0F93"/>
    <w:rsid w:val="00AD056F"/>
    <w:rsid w:val="00AD6731"/>
    <w:rsid w:val="00AE38A3"/>
    <w:rsid w:val="00AF0BA1"/>
    <w:rsid w:val="00B15D0D"/>
    <w:rsid w:val="00B22A7C"/>
    <w:rsid w:val="00B40A66"/>
    <w:rsid w:val="00B45300"/>
    <w:rsid w:val="00B623EA"/>
    <w:rsid w:val="00B75EE1"/>
    <w:rsid w:val="00B77481"/>
    <w:rsid w:val="00B803DC"/>
    <w:rsid w:val="00B8518B"/>
    <w:rsid w:val="00BA4E54"/>
    <w:rsid w:val="00BD003D"/>
    <w:rsid w:val="00BD373B"/>
    <w:rsid w:val="00BD7E91"/>
    <w:rsid w:val="00C02D0A"/>
    <w:rsid w:val="00C03A6E"/>
    <w:rsid w:val="00C2732F"/>
    <w:rsid w:val="00C33211"/>
    <w:rsid w:val="00C44F6A"/>
    <w:rsid w:val="00C47AE3"/>
    <w:rsid w:val="00C53DEA"/>
    <w:rsid w:val="00C569B1"/>
    <w:rsid w:val="00C5767E"/>
    <w:rsid w:val="00C963B3"/>
    <w:rsid w:val="00C97C52"/>
    <w:rsid w:val="00CD1FC4"/>
    <w:rsid w:val="00CD559D"/>
    <w:rsid w:val="00D15860"/>
    <w:rsid w:val="00D17940"/>
    <w:rsid w:val="00D21061"/>
    <w:rsid w:val="00D279D0"/>
    <w:rsid w:val="00D4108E"/>
    <w:rsid w:val="00D6163D"/>
    <w:rsid w:val="00D66581"/>
    <w:rsid w:val="00D73D46"/>
    <w:rsid w:val="00D831A3"/>
    <w:rsid w:val="00DC75F3"/>
    <w:rsid w:val="00DD46F3"/>
    <w:rsid w:val="00DE292A"/>
    <w:rsid w:val="00DE56F2"/>
    <w:rsid w:val="00DF116D"/>
    <w:rsid w:val="00E00CFF"/>
    <w:rsid w:val="00E20587"/>
    <w:rsid w:val="00E2287F"/>
    <w:rsid w:val="00E31899"/>
    <w:rsid w:val="00E33568"/>
    <w:rsid w:val="00E36C4A"/>
    <w:rsid w:val="00E539AF"/>
    <w:rsid w:val="00E56245"/>
    <w:rsid w:val="00E6390C"/>
    <w:rsid w:val="00E91E60"/>
    <w:rsid w:val="00EA56E5"/>
    <w:rsid w:val="00EB104F"/>
    <w:rsid w:val="00EB3259"/>
    <w:rsid w:val="00EC5149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3877"/>
    <w:rsid w:val="00FC6389"/>
    <w:rsid w:val="00FD081C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26779"/>
  </w:style>
  <w:style w:type="paragraph" w:customStyle="1" w:styleId="paragraph">
    <w:name w:val="paragraph"/>
    <w:basedOn w:val="Normln"/>
    <w:rsid w:val="00326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3267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D58BF6-E6CC-4E14-804D-6431DD975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F17EFD-2CCF-4681-83F5-1813EF8FE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23</TotalTime>
  <Pages>3</Pages>
  <Words>848</Words>
  <Characters>5004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5</cp:revision>
  <cp:lastPrinted>2017-11-28T17:18:00Z</cp:lastPrinted>
  <dcterms:created xsi:type="dcterms:W3CDTF">2023-10-18T12:29:00Z</dcterms:created>
  <dcterms:modified xsi:type="dcterms:W3CDTF">2023-10-19T12:43:00Z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