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4B5" w:rsidRPr="00D774B5" w:rsidRDefault="009D1E4C" w:rsidP="00D774B5">
      <w:pPr>
        <w:spacing w:before="240" w:after="240" w:line="240" w:lineRule="auto"/>
        <w:jc w:val="center"/>
        <w:outlineLvl w:val="0"/>
        <w:rPr>
          <w:rFonts w:eastAsia="Times New Roman" w:cs="Times New Roman"/>
          <w:b/>
          <w:bCs/>
          <w:kern w:val="28"/>
          <w:sz w:val="28"/>
          <w:szCs w:val="28"/>
          <w:lang w:eastAsia="x-none"/>
        </w:rPr>
      </w:pPr>
      <w:r>
        <w:rPr>
          <w:rFonts w:eastAsia="Times New Roman" w:cs="Times New Roman"/>
          <w:b/>
          <w:bCs/>
          <w:kern w:val="28"/>
          <w:sz w:val="28"/>
          <w:szCs w:val="28"/>
          <w:lang w:eastAsia="x-none"/>
        </w:rPr>
        <w:t>Specifikace</w:t>
      </w:r>
      <w:r w:rsidR="00D774B5" w:rsidRPr="00D774B5">
        <w:rPr>
          <w:rFonts w:eastAsia="Times New Roman" w:cs="Times New Roman"/>
          <w:b/>
          <w:bCs/>
          <w:kern w:val="28"/>
          <w:sz w:val="28"/>
          <w:szCs w:val="28"/>
          <w:lang w:eastAsia="x-none"/>
        </w:rPr>
        <w:t xml:space="preserve"> předmětu dílčích zakázek</w:t>
      </w:r>
    </w:p>
    <w:p w:rsidR="00477F47" w:rsidRDefault="00477F47" w:rsidP="00477F47">
      <w:pPr>
        <w:spacing w:before="240" w:after="240" w:line="240" w:lineRule="auto"/>
        <w:jc w:val="center"/>
        <w:outlineLvl w:val="0"/>
        <w:rPr>
          <w:rFonts w:eastAsia="Times New Roman" w:cs="Times New Roman"/>
          <w:b/>
          <w:bCs/>
          <w:kern w:val="28"/>
          <w:sz w:val="28"/>
          <w:szCs w:val="28"/>
          <w:lang w:eastAsia="x-none"/>
        </w:rPr>
      </w:pPr>
    </w:p>
    <w:p w:rsidR="002C0049" w:rsidRPr="00AD43F0" w:rsidRDefault="002C0049" w:rsidP="00CE5A7F">
      <w:pPr>
        <w:spacing w:before="480" w:after="240" w:line="240" w:lineRule="auto"/>
        <w:outlineLvl w:val="0"/>
        <w:rPr>
          <w:rFonts w:eastAsia="Times New Roman" w:cs="Times New Roman"/>
          <w:b/>
          <w:bCs/>
          <w:kern w:val="28"/>
          <w:sz w:val="18"/>
          <w:szCs w:val="18"/>
          <w:u w:val="single"/>
          <w:lang w:eastAsia="x-none"/>
        </w:rPr>
      </w:pPr>
      <w:bookmarkStart w:id="0" w:name="_Hlk148421970"/>
      <w:r w:rsidRPr="00AD43F0">
        <w:rPr>
          <w:rFonts w:eastAsia="Times New Roman" w:cs="Times New Roman"/>
          <w:b/>
          <w:bCs/>
          <w:kern w:val="28"/>
          <w:sz w:val="18"/>
          <w:szCs w:val="18"/>
          <w:u w:val="single"/>
          <w:lang w:eastAsia="x-none"/>
        </w:rPr>
        <w:t>Charakteristický popis:</w:t>
      </w:r>
    </w:p>
    <w:bookmarkEnd w:id="0"/>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Výběr finančních hotovostí (CZK a EUR) z pokladen turniketů a mincovníků veřejných WC dle potřeby – zaplněnosti pokladny.</w:t>
      </w:r>
    </w:p>
    <w:p w:rsidR="00B86B4A" w:rsidRPr="00AD43F0" w:rsidRDefault="00B86B4A" w:rsidP="00B86B4A">
      <w:pPr>
        <w:tabs>
          <w:tab w:val="left" w:pos="1418"/>
        </w:tabs>
        <w:spacing w:before="60" w:after="0"/>
        <w:ind w:right="764"/>
        <w:jc w:val="both"/>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sz w:val="18"/>
          <w:szCs w:val="18"/>
        </w:rPr>
        <w:t>Prvotní naplnění a pravidelné doplňování finanční hotovosti vždy do plného zásobníku mincí, sloužícího k vrácení rozdílu mezi platbou a cenou služby na místě.</w:t>
      </w:r>
    </w:p>
    <w:p w:rsidR="00B86B4A" w:rsidRPr="00AD43F0" w:rsidRDefault="00B86B4A" w:rsidP="00B86B4A">
      <w:pPr>
        <w:pStyle w:val="Odstavecseseznamem"/>
        <w:tabs>
          <w:tab w:val="left" w:pos="1418"/>
        </w:tabs>
        <w:spacing w:before="60" w:after="0"/>
        <w:ind w:left="142" w:right="764"/>
        <w:jc w:val="both"/>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Naložení zabezpečených finančních hotovostí do přepravního vozidla.</w:t>
      </w:r>
    </w:p>
    <w:p w:rsidR="00B86B4A" w:rsidRPr="00AD43F0" w:rsidRDefault="00B86B4A" w:rsidP="00B86B4A">
      <w:pPr>
        <w:pStyle w:val="Odstavecseseznamem"/>
        <w:spacing w:after="0"/>
        <w:ind w:left="142"/>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Zabezpečený převoz finančních hotovostí chráněnou pozemní přepravou na určené místo na jejich zpracování (přepočet, rozdělení dle hodnoty mincí a bankovek).</w:t>
      </w:r>
    </w:p>
    <w:p w:rsidR="00B86B4A" w:rsidRPr="00AD43F0" w:rsidRDefault="00B86B4A" w:rsidP="00B86B4A">
      <w:pPr>
        <w:pStyle w:val="Odstavecseseznamem"/>
        <w:spacing w:after="0"/>
        <w:ind w:left="142"/>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Odeslání přepočtených částek na CZK a EUR účty objednatele vedené u České národní banky.</w:t>
      </w:r>
    </w:p>
    <w:p w:rsidR="00B86B4A" w:rsidRPr="00AD43F0" w:rsidRDefault="00B86B4A" w:rsidP="009D1E4C">
      <w:pPr>
        <w:pStyle w:val="Odstavecseseznamem"/>
        <w:spacing w:after="0"/>
        <w:ind w:left="142"/>
        <w:rPr>
          <w:rFonts w:cs="Arial"/>
          <w:sz w:val="18"/>
          <w:szCs w:val="18"/>
        </w:rPr>
      </w:pPr>
    </w:p>
    <w:p w:rsidR="00B86B4A"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Zajištění odstranění běžných závad pokladního systému (</w:t>
      </w:r>
      <w:r w:rsidRPr="00AD43F0">
        <w:rPr>
          <w:rFonts w:cs="Arial"/>
          <w:noProof/>
          <w:sz w:val="18"/>
          <w:szCs w:val="18"/>
        </w:rPr>
        <w:t>např. při ucpání pokladního systému mincemi či jiným předmětem, zaseknutí papíru tiskárny aj.).</w:t>
      </w:r>
    </w:p>
    <w:p w:rsidR="00FD7346" w:rsidRPr="00FD7346" w:rsidRDefault="00FD7346" w:rsidP="00FD7346">
      <w:pPr>
        <w:tabs>
          <w:tab w:val="left" w:pos="1418"/>
        </w:tabs>
        <w:spacing w:before="60" w:after="0"/>
        <w:ind w:right="764"/>
        <w:jc w:val="both"/>
        <w:rPr>
          <w:rFonts w:cs="Arial"/>
          <w:sz w:val="18"/>
          <w:szCs w:val="18"/>
        </w:rPr>
      </w:pPr>
    </w:p>
    <w:p w:rsidR="00B86B4A" w:rsidRPr="00AD43F0" w:rsidRDefault="00B86B4A" w:rsidP="00FD7346">
      <w:pPr>
        <w:pStyle w:val="Odstavecseseznamem"/>
        <w:numPr>
          <w:ilvl w:val="0"/>
          <w:numId w:val="3"/>
        </w:numPr>
        <w:tabs>
          <w:tab w:val="left" w:pos="1418"/>
        </w:tabs>
        <w:spacing w:after="0"/>
        <w:ind w:left="714" w:right="765" w:hanging="357"/>
        <w:jc w:val="both"/>
        <w:rPr>
          <w:rFonts w:cs="Arial"/>
          <w:sz w:val="18"/>
          <w:szCs w:val="18"/>
        </w:rPr>
      </w:pPr>
      <w:r w:rsidRPr="00AD43F0">
        <w:rPr>
          <w:rFonts w:cs="Arial"/>
          <w:sz w:val="18"/>
          <w:szCs w:val="18"/>
        </w:rPr>
        <w:t>Asistence při opravě (zpřístupnění pokladního systému).</w:t>
      </w:r>
    </w:p>
    <w:p w:rsidR="00B86B4A" w:rsidRPr="00AD43F0" w:rsidRDefault="00B86B4A" w:rsidP="00B86B4A">
      <w:pPr>
        <w:tabs>
          <w:tab w:val="left" w:pos="1418"/>
        </w:tabs>
        <w:spacing w:before="60" w:after="0"/>
        <w:ind w:right="764"/>
        <w:jc w:val="both"/>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Doplňování spotřebního materiálu pokladního systému (kotouče termopapíru pro tiskárny).</w:t>
      </w:r>
    </w:p>
    <w:p w:rsidR="00B86B4A" w:rsidRPr="00AD43F0" w:rsidRDefault="00B86B4A" w:rsidP="00B86B4A">
      <w:pPr>
        <w:pStyle w:val="Odstavecseseznamem"/>
        <w:spacing w:after="0"/>
        <w:ind w:left="142"/>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Hlášení neodstranitelných závad (mimo běžné závady) ihned po zjištění.</w:t>
      </w:r>
    </w:p>
    <w:p w:rsidR="00B86B4A" w:rsidRPr="00AD43F0" w:rsidRDefault="00B86B4A" w:rsidP="00B86B4A">
      <w:pPr>
        <w:pStyle w:val="Odstavecseseznamem"/>
        <w:spacing w:after="0"/>
        <w:rPr>
          <w:rFonts w:cs="Arial"/>
          <w:sz w:val="18"/>
          <w:szCs w:val="18"/>
        </w:rPr>
      </w:pPr>
    </w:p>
    <w:p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Otírání čidel, zásobníků mincí a bankovek min. 1x týdně (turniket), min. 2x měsíčně (mincovník).</w:t>
      </w:r>
    </w:p>
    <w:p w:rsidR="00B86B4A" w:rsidRPr="00AD43F0" w:rsidRDefault="00B86B4A" w:rsidP="00B86B4A">
      <w:pPr>
        <w:tabs>
          <w:tab w:val="left" w:pos="1418"/>
        </w:tabs>
        <w:spacing w:before="60" w:after="60"/>
        <w:ind w:right="764"/>
        <w:jc w:val="both"/>
        <w:rPr>
          <w:rFonts w:cs="Arial"/>
          <w:sz w:val="18"/>
          <w:szCs w:val="18"/>
        </w:rPr>
      </w:pPr>
    </w:p>
    <w:p w:rsidR="00B86B4A" w:rsidRPr="009D1E4C" w:rsidRDefault="00B86B4A" w:rsidP="009D1E4C">
      <w:pPr>
        <w:pStyle w:val="Odstavecseseznamem"/>
        <w:numPr>
          <w:ilvl w:val="0"/>
          <w:numId w:val="3"/>
        </w:numPr>
        <w:tabs>
          <w:tab w:val="left" w:pos="1418"/>
        </w:tabs>
        <w:spacing w:before="60" w:after="60" w:line="360" w:lineRule="auto"/>
        <w:ind w:right="764"/>
        <w:jc w:val="both"/>
        <w:rPr>
          <w:rFonts w:cs="Arial"/>
          <w:noProof/>
          <w:sz w:val="18"/>
          <w:szCs w:val="18"/>
        </w:rPr>
      </w:pPr>
      <w:r w:rsidRPr="00AD43F0">
        <w:rPr>
          <w:rFonts w:cs="Arial"/>
          <w:noProof/>
          <w:sz w:val="18"/>
          <w:szCs w:val="18"/>
        </w:rPr>
        <w:t>Zajištění činností pro havarijní zásahy v následujících časových lhůtách:</w:t>
      </w:r>
    </w:p>
    <w:p w:rsidR="009D1E4C" w:rsidRPr="00C3177F" w:rsidRDefault="00B86B4A" w:rsidP="00C3177F">
      <w:pPr>
        <w:pStyle w:val="Odstavecseseznamem"/>
        <w:numPr>
          <w:ilvl w:val="0"/>
          <w:numId w:val="4"/>
        </w:numPr>
        <w:spacing w:before="240" w:after="120" w:line="240" w:lineRule="auto"/>
        <w:ind w:left="1134" w:hanging="357"/>
        <w:outlineLvl w:val="0"/>
        <w:rPr>
          <w:sz w:val="18"/>
          <w:szCs w:val="18"/>
        </w:rPr>
      </w:pPr>
      <w:r w:rsidRPr="00AD43F0">
        <w:rPr>
          <w:rFonts w:cs="Arial"/>
          <w:noProof/>
          <w:sz w:val="18"/>
          <w:szCs w:val="18"/>
        </w:rPr>
        <w:t xml:space="preserve">Havarijní výjezd v případě mimořádnosti a odstranění běžné závady na pokladním systému (např. při ucpání pokladního systému mincemi či jiným předmětem, zaseknutí papíru tiskárny, asistence při opravě pro zpřístupnění pokladního systému aj.) do </w:t>
      </w:r>
      <w:r w:rsidRPr="00AD43F0">
        <w:rPr>
          <w:rFonts w:cs="Arial"/>
          <w:b/>
          <w:noProof/>
          <w:sz w:val="18"/>
          <w:szCs w:val="18"/>
        </w:rPr>
        <w:t>2h od nahlášení závady či požadavku asistence při opravě.</w:t>
      </w:r>
    </w:p>
    <w:p w:rsidR="00C3177F" w:rsidRPr="00C3177F" w:rsidRDefault="00B50D60" w:rsidP="00C3177F">
      <w:pPr>
        <w:spacing w:before="480" w:after="240" w:line="240" w:lineRule="auto"/>
        <w:outlineLvl w:val="0"/>
        <w:rPr>
          <w:rFonts w:eastAsia="Times New Roman" w:cs="Times New Roman"/>
          <w:b/>
          <w:bCs/>
          <w:kern w:val="28"/>
          <w:sz w:val="18"/>
          <w:szCs w:val="18"/>
          <w:u w:val="single"/>
          <w:lang w:eastAsia="x-none"/>
        </w:rPr>
      </w:pPr>
      <w:r>
        <w:rPr>
          <w:rFonts w:eastAsia="Times New Roman" w:cs="Times New Roman"/>
          <w:b/>
          <w:bCs/>
          <w:kern w:val="28"/>
          <w:sz w:val="18"/>
          <w:szCs w:val="18"/>
          <w:u w:val="single"/>
          <w:lang w:eastAsia="x-none"/>
        </w:rPr>
        <w:t>Seznámení s normami a interními předpisy</w:t>
      </w:r>
      <w:bookmarkStart w:id="1" w:name="_GoBack"/>
      <w:bookmarkEnd w:id="1"/>
      <w:r w:rsidR="00C3177F" w:rsidRPr="00AD43F0">
        <w:rPr>
          <w:rFonts w:eastAsia="Times New Roman" w:cs="Times New Roman"/>
          <w:b/>
          <w:bCs/>
          <w:kern w:val="28"/>
          <w:sz w:val="18"/>
          <w:szCs w:val="18"/>
          <w:u w:val="single"/>
          <w:lang w:eastAsia="x-none"/>
        </w:rPr>
        <w:t>:</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se zavazuje poskytovat služby ve prospěch objednatele řádně, včas a bezpečně a při poskytování služeb dodržovat platné právní normy a zákony, zejména při manipulaci se střelnými zbraněmi či jinými bezpečnostními prostředky.</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se zavazuje ke koordinaci objednaného počtu výběrů finanční hotovosti z pokladen turniketů a mincovníků veřejných WC vždy dle potřeby tak, aby nedocházelo k naplnění zásobníků turniketů (mincovníků) a jejich následné nefunkčnosti. </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provede systémové uzavření pokladního systému formou předaného příslušenství k turniketu či mincovníku „uzávěrková karta“ (pokud to zařízení technicky umožňuje), kdy jejím použitím dojde k vyjetí uzávěrkového výjezdu a odeslání dat do systému objednatele o vybrané hotovosti z jednotlivých pokladen, v tuto chvíli pokladna začíná počítat od 0 s uložením předchozího období a stavu zásobníku hotovosti. Toto poskytovatel provede na každé pokladně současně s ukončením výběru finanční hotovosti a následně bezprostředně po skončení přepočítávání hotovosti tentýž den provede platební příkaz k zaslání finanční hotovosti na účty objednatele u České národní banky. Takovéto zaslání finanční hotovosti na účty objednatele probíhá vždy v pondělí po přepočtení finanční hotovosti. V období mezi dílčími výběry a zasláním finanční hotovosti je poskytovatel povinen bezpečně uložit přepočtenou finanční hotovost, to vše na své náklady a riziko. </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 systémovém uzavření pokladen je poskytovatel povinen poskytnout objednateli veškerou dokumentaci ze systémového uzavření pokladen, dílčích výběrů finanční hotovosti s přesným uvedením času výběru, protokol z přepočítání finanční hotovosti a záznam o platebním příkazu o zaslání finanční hotovosti v elektronické formě, originály listinných dokumentů pak budou předány kontaktní osobě objednatele ve lhůtě 3 pracovních dní od jejich vystavení. Poskytovatel je povinen zajistit potřebný počet originálů těchto dokumentů tak, aby vždy mohl jeden originál předat objednateli. </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veškerou vybranou finanční hotovost uschovává až do převodu na účty objednatele na své náklady a na své riziko. Poskytovatel ručí za finanční hotovost od doby výběru této hotovosti z jednotlivých pokladen až do připsání finančních prostředků na účet objednatele.</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zajistit nepřetržitý přístup do schránek s hotovostí pokladen a provádět drobné servisní práce týkající se zejména zajištění průchodnosti jednotlivých vstupů hotovosti na pokladním systému (např. zneprůchodnění vstupu pro bankovky kreditní kartou, ucpání pokladního systému mincemi či jiným předmětem, zaseknutí papíru tiskárny aj.) a dále minimálně jedenkrát týdně (turniket) nebo 2x měsíčně (mincovník)provést vyčištění zařízení, otření čidel a mincovníku. Tyto činnosti jsou již zahrnuty v ceně poskytovaných služeb.</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zajistit zpřístupnění pokladního systému při opravě (asistence při opravě).</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se zavazuje provádět přepočítání finanční hotovosti na objednateli předem oznámeném místě. Objednatel je oprávněn být tomuto přepočítání </w:t>
      </w:r>
      <w:proofErr w:type="gramStart"/>
      <w:r w:rsidRPr="00C3177F">
        <w:rPr>
          <w:sz w:val="18"/>
          <w:szCs w:val="18"/>
        </w:rPr>
        <w:t>přítomen</w:t>
      </w:r>
      <w:proofErr w:type="gramEnd"/>
      <w:r w:rsidRPr="00C3177F">
        <w:rPr>
          <w:sz w:val="18"/>
          <w:szCs w:val="18"/>
        </w:rPr>
        <w:t xml:space="preserve"> a to i bez předchozího oznámení poskytovateli. Přeprava finanční hotovosti do místa přepočítání finanční hotovosti je plně na náklady a riziko poskytovatele.</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se zavazuje přepočítávat zvlášť měnu EUR a zvlášť měnu CZK. Počty mincí a bankovek jednotlivých měn musí odpovídat údajům z elektronického systému pokladen. Pro vyloučení pochybností objednatel uvádí, že neakceptuje stav, kdy bude souhlasit výše přepočtené hotovosti na základě směnného kurzu EUR a CZK, ale musí souhlasit stav počtu mincí a bankovek jednotlivých měn.</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Zpracování hotovosti je prováděno podle zásad stanovených zákonem č. 136/2011 Sb., o oběhu bankovek a mincí a o změně zákona č. 6/1993 Sb., o České národní bance, ve znění pozdějších předpisů a prováděcími právními předpisy. Turnikety poskytovatele přijímají ke zpracování české koruny a eura (EUR mince 50 centů a 1 euro, CZK mince 1, 2, 5, 10, 20 a 50 Kč a bankovky 100 a 200 Kč). Mince EUR budou zpracovávány podle stejných zásad a postupů jako české koruny.</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výsledcích zpracování hotovosti vyhotoví poskytovatel protokol o zpracování hotovosti pro objednatele s uvedením údajů o výsledcích zpracování hotovosti.</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Zjistí-li poskytovatel při zpracování hotovosti neplatné, poškozené nebo neúplné (necelé) bankovky či mince, předá je objednateli a počet těchto bankovek a mincí uvede v protokolu o zpracování hotovosti.</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V případě, že objednatel zjistí po přepočítání finanční hotovosti rozdíl (schodek) mezi údaji uvedenými poskytovatelem a skutečným stavem – finanční hotovostí zaslanou na objednatelovy účty, odpovídá za tento rozdíl (schodek) v plném rozsahu poskytovatel. Poskytovatel také odpovídá v plném rozsahu za rozdíl (schodek) vyšší než </w:t>
      </w:r>
      <w:proofErr w:type="gramStart"/>
      <w:r w:rsidRPr="00C3177F">
        <w:rPr>
          <w:sz w:val="18"/>
          <w:szCs w:val="18"/>
        </w:rPr>
        <w:t>0,2%</w:t>
      </w:r>
      <w:proofErr w:type="gramEnd"/>
      <w:r w:rsidRPr="00C3177F">
        <w:rPr>
          <w:sz w:val="18"/>
          <w:szCs w:val="18"/>
        </w:rPr>
        <w:t xml:space="preserve"> mezi údaji ze systémového uzavření pokladen a údaji z protokolu o zpracování hotovosti. Objednatel pro přesnost uvádí, že může vznikat kladný rozdíl mezi skutečně vybranou finanční hotovostí a elektronickým záznamem pokladen. Tento kladný rozdíl připadá objednateli a poskytovatel s ním nesmí krýt žádný ze vzniklých schodků na finanční hotovosti. V případě, že bude při kontrole zjištěno, že poskytovatel takovýto přebytek objednateli zatajil, má objednatel právo odstoupit od smlouvy.</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prohlašuje, že splňuje veškeré předpoklady k plnění předmětu této smlouvy a má k tomu dostatečné věcné a personální zajištění a disponuje příslušnými certifikáty a oprávněními. Poskytovatel se zavazuje, že bude splňovat tyto požadavky po celou dobu trvání této smlouvy. </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V případech neočekávaných událostí (vyšší moc), které mohou mít za následek zpoždění převzetí nebo odevzdání zásilek hotovosti nebo cenností, jsou smluvní strany povinné bezodkladně informovat druhou smluvní stranu o důvodech a vykonat všechna potřebná opatření k eliminaci následků těchto událostí.</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Předmět smlouvy musí být proveden v souladu se zadávací dokumentací a dále v souladu s veškerými relevantními právními předpisy a normami. </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Jakékoliv zjištěné nepravidelnosti při poskytovaní služeb a vznik </w:t>
      </w:r>
      <w:proofErr w:type="spellStart"/>
      <w:r w:rsidRPr="00C3177F">
        <w:rPr>
          <w:sz w:val="18"/>
          <w:szCs w:val="18"/>
        </w:rPr>
        <w:t>škodních</w:t>
      </w:r>
      <w:proofErr w:type="spellEnd"/>
      <w:r w:rsidRPr="00C3177F">
        <w:rPr>
          <w:sz w:val="18"/>
          <w:szCs w:val="18"/>
        </w:rPr>
        <w:t xml:space="preserve"> událostí je poskytovatel povinen bezodkladně nahlásit objednateli telefonicky s následným písemným potvrzením (e-mailem na adresu příslušné kontaktní osoby ve věcech technických).</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se zavazuje jednat tak, aby ani jeho činností, ani v souvislosti s ní, nevznikla objednateli nebo třetí osobě škoda. Pokud ke vzniku škody přesto dojde, zavazuje se tuto škodu uhradit, včetně všech dalších výdajů s tím spojených. Poskytovatel je povinen poskytnout takovou náhradu škody, i když bude přesahovat limit pojistného krytí. Poskytovatel je povinen zahájit šetření nepravidelností a </w:t>
      </w:r>
      <w:proofErr w:type="spellStart"/>
      <w:r w:rsidRPr="00C3177F">
        <w:rPr>
          <w:sz w:val="18"/>
          <w:szCs w:val="18"/>
        </w:rPr>
        <w:t>škodních</w:t>
      </w:r>
      <w:proofErr w:type="spellEnd"/>
      <w:r w:rsidRPr="00C3177F">
        <w:rPr>
          <w:sz w:val="18"/>
          <w:szCs w:val="18"/>
        </w:rPr>
        <w:t xml:space="preserve"> událostí dle předchozího odstavce bez zbytečných odkladů a poskytnout všechnu potřebnou součinnost příslušným orgánům účastných na zjišťování relevantních skutečností.</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se zavazuje provádět bezpečnostní služby chráněné pozemní přepravy hotovosti, výběr hotovosti a zpracování hotovosti na své nebezpečí a odpovědnost</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odpovídá za činnost svých zaměstnanců a zaměstnanců poddodavatelů v plné míře.</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dále dodržovat požární předpisy – dle zákona č. 133/</w:t>
      </w:r>
      <w:proofErr w:type="gramStart"/>
      <w:r w:rsidRPr="00C3177F">
        <w:rPr>
          <w:sz w:val="18"/>
          <w:szCs w:val="18"/>
        </w:rPr>
        <w:t>1985  Sb.</w:t>
      </w:r>
      <w:proofErr w:type="gramEnd"/>
      <w:r w:rsidRPr="00C3177F">
        <w:rPr>
          <w:sz w:val="18"/>
          <w:szCs w:val="18"/>
        </w:rPr>
        <w:t xml:space="preserve"> o požární ochraně v platném znění, vyhlášku č. 246/2001 Sb. o požární prevenci; předpis SŽ Ob 14 – předpis pro stanovení organizace zabezpečení požární ochrany SŽ.</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rovněž důsledně dodržovat všechny platné právní předpisy včetně ustanovení Zákoníku práce (zák. č. 262/2006 Sb.) a zákona o zajištění podmínek bezpečnosti a ochrany zdraví při práci (zák. č. 309/2006 Sb.) oboje v platném znění a bude dodržovat Opatření ředitele OŘ Praha SŽ PO-27/</w:t>
      </w:r>
      <w:proofErr w:type="gramStart"/>
      <w:r w:rsidRPr="00C3177F">
        <w:rPr>
          <w:sz w:val="18"/>
          <w:szCs w:val="18"/>
        </w:rPr>
        <w:t>2022-OŘ</w:t>
      </w:r>
      <w:proofErr w:type="gramEnd"/>
      <w:r w:rsidRPr="00C3177F">
        <w:rPr>
          <w:sz w:val="18"/>
          <w:szCs w:val="18"/>
        </w:rPr>
        <w:t xml:space="preserve"> Analýza nebezpečí a hodnocení rizik pracovních činností</w:t>
      </w:r>
    </w:p>
    <w:p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Objednatel a poskytovatel jsou dále povinni postupovat v souladu s ustanovením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poskytovatel včetně svých poddodavatelů podepsat objednateli, že byl s riziky seznámen, mohou jeho zaměstnanci práci u objednatele vykonávat pouze za předpokladu, když poskytovatel prokazatelně potvrdí, že odmítl seznámení s riziky podepsat. Výše uvedené odmítnutí se považuje za podstatné porušení smlouvy.</w:t>
      </w:r>
    </w:p>
    <w:p w:rsidR="009D1E4C" w:rsidRPr="009D1E4C" w:rsidRDefault="00C3177F" w:rsidP="00C3177F">
      <w:pPr>
        <w:spacing w:before="240" w:after="240" w:line="240" w:lineRule="auto"/>
        <w:outlineLvl w:val="0"/>
        <w:rPr>
          <w:sz w:val="18"/>
          <w:szCs w:val="18"/>
        </w:rPr>
      </w:pPr>
      <w:r w:rsidRPr="00C3177F">
        <w:rPr>
          <w:sz w:val="18"/>
          <w:szCs w:val="18"/>
        </w:rPr>
        <w:t>Poskytovatel výslovně prohlašuje, že je se všemi výše uvedenými normami a interními směrnicemi plně seznámen.</w:t>
      </w:r>
    </w:p>
    <w:sectPr w:rsidR="009D1E4C" w:rsidRPr="009D1E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F47" w:rsidRDefault="00477F47" w:rsidP="00477F47">
      <w:pPr>
        <w:spacing w:after="0" w:line="240" w:lineRule="auto"/>
      </w:pPr>
      <w:r>
        <w:separator/>
      </w:r>
    </w:p>
  </w:endnote>
  <w:endnote w:type="continuationSeparator" w:id="0">
    <w:p w:rsidR="00477F47" w:rsidRDefault="00477F47" w:rsidP="0047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F47" w:rsidRDefault="00477F47" w:rsidP="00477F47">
      <w:pPr>
        <w:spacing w:after="0" w:line="240" w:lineRule="auto"/>
      </w:pPr>
      <w:r>
        <w:separator/>
      </w:r>
    </w:p>
  </w:footnote>
  <w:footnote w:type="continuationSeparator" w:id="0">
    <w:p w:rsidR="00477F47" w:rsidRDefault="00477F47" w:rsidP="00477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F47" w:rsidRPr="00477F47" w:rsidRDefault="00477F47" w:rsidP="00477F47">
    <w:pPr>
      <w:tabs>
        <w:tab w:val="center" w:pos="4536"/>
        <w:tab w:val="right" w:pos="9072"/>
      </w:tabs>
      <w:spacing w:after="0" w:line="240" w:lineRule="auto"/>
      <w:ind w:left="-567"/>
      <w:rPr>
        <w:rFonts w:eastAsia="Calibri" w:cstheme="minorHAnsi"/>
        <w:sz w:val="18"/>
        <w:szCs w:val="18"/>
        <w:lang w:eastAsia="cs-CZ"/>
      </w:rPr>
    </w:pPr>
    <w:r w:rsidRPr="00477F47">
      <w:rPr>
        <w:rFonts w:eastAsia="Calibri" w:cstheme="minorHAnsi"/>
        <w:sz w:val="18"/>
        <w:szCs w:val="18"/>
        <w:lang w:eastAsia="cs-CZ"/>
      </w:rPr>
      <w:t xml:space="preserve">Příloha </w:t>
    </w:r>
    <w:r w:rsidR="00FF58A1">
      <w:rPr>
        <w:rFonts w:eastAsia="Calibri" w:cstheme="minorHAnsi"/>
        <w:sz w:val="18"/>
        <w:szCs w:val="18"/>
        <w:lang w:eastAsia="cs-CZ"/>
      </w:rPr>
      <w:t xml:space="preserve">č. </w:t>
    </w:r>
    <w:r w:rsidR="00B90EAE">
      <w:rPr>
        <w:rFonts w:eastAsia="Calibri" w:cstheme="minorHAnsi"/>
        <w:sz w:val="18"/>
        <w:szCs w:val="18"/>
        <w:lang w:eastAsia="cs-CZ"/>
      </w:rPr>
      <w:t>2</w:t>
    </w:r>
    <w:r w:rsidR="00FF58A1">
      <w:rPr>
        <w:rFonts w:eastAsia="Calibri" w:cstheme="minorHAnsi"/>
        <w:sz w:val="18"/>
        <w:szCs w:val="18"/>
        <w:lang w:eastAsia="cs-CZ"/>
      </w:rPr>
      <w:t xml:space="preserve"> </w:t>
    </w:r>
    <w:r w:rsidR="00B90EAE">
      <w:rPr>
        <w:rFonts w:eastAsia="Calibri" w:cstheme="minorHAnsi"/>
        <w:sz w:val="18"/>
        <w:szCs w:val="18"/>
        <w:lang w:eastAsia="cs-CZ"/>
      </w:rPr>
      <w:t>Rámcové dohody</w:t>
    </w:r>
    <w:r w:rsidRPr="00477F47">
      <w:rPr>
        <w:rFonts w:eastAsia="Calibri" w:cstheme="minorHAnsi"/>
        <w:sz w:val="18"/>
        <w:szCs w:val="18"/>
        <w:lang w:eastAsia="cs-CZ"/>
      </w:rPr>
      <w:t>:</w:t>
    </w:r>
  </w:p>
  <w:p w:rsidR="00477F47" w:rsidRPr="00477F47" w:rsidRDefault="009D1E4C" w:rsidP="00477F47">
    <w:pPr>
      <w:tabs>
        <w:tab w:val="center" w:pos="4536"/>
        <w:tab w:val="right" w:pos="9072"/>
      </w:tabs>
      <w:spacing w:after="0" w:line="240" w:lineRule="auto"/>
      <w:ind w:left="-567"/>
      <w:rPr>
        <w:rFonts w:eastAsia="Calibri" w:cstheme="minorHAnsi"/>
        <w:sz w:val="18"/>
        <w:szCs w:val="18"/>
        <w:lang w:eastAsia="cs-CZ"/>
      </w:rPr>
    </w:pPr>
    <w:r>
      <w:rPr>
        <w:rFonts w:eastAsia="Calibri" w:cstheme="minorHAnsi"/>
        <w:sz w:val="18"/>
        <w:szCs w:val="18"/>
        <w:lang w:eastAsia="cs-CZ"/>
      </w:rPr>
      <w:t>Specifikace</w:t>
    </w:r>
    <w:r w:rsidR="00D774B5">
      <w:rPr>
        <w:rFonts w:eastAsia="Calibri" w:cstheme="minorHAnsi"/>
        <w:sz w:val="18"/>
        <w:szCs w:val="18"/>
        <w:lang w:eastAsia="cs-CZ"/>
      </w:rPr>
      <w:t xml:space="preserve"> předmětu dílčích zakázek</w:t>
    </w:r>
  </w:p>
  <w:p w:rsidR="00477F47" w:rsidRDefault="00477F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760C0"/>
    <w:multiLevelType w:val="hybridMultilevel"/>
    <w:tmpl w:val="A680097C"/>
    <w:lvl w:ilvl="0" w:tplc="4126BBE0">
      <w:start w:val="1"/>
      <w:numFmt w:val="bullet"/>
      <w:lvlText w:val=""/>
      <w:lvlJc w:val="left"/>
      <w:pPr>
        <w:ind w:left="720" w:hanging="360"/>
      </w:pPr>
      <w:rPr>
        <w:rFonts w:ascii="Symbol" w:hAnsi="Symbol" w:hint="default"/>
        <w:sz w:val="14"/>
        <w:szCs w:val="14"/>
      </w:rPr>
    </w:lvl>
    <w:lvl w:ilvl="1" w:tplc="14D8FBF4">
      <w:numFmt w:val="bullet"/>
      <w:lvlText w:val="-"/>
      <w:lvlJc w:val="left"/>
      <w:pPr>
        <w:ind w:left="1440" w:hanging="360"/>
      </w:pPr>
      <w:rPr>
        <w:rFonts w:ascii="Verdana" w:eastAsiaTheme="minorHAnsi" w:hAnsi="Verdana"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015C73"/>
    <w:multiLevelType w:val="hybridMultilevel"/>
    <w:tmpl w:val="C1067B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9EB05FB"/>
    <w:multiLevelType w:val="hybridMultilevel"/>
    <w:tmpl w:val="BFB4CF22"/>
    <w:lvl w:ilvl="0" w:tplc="04050001">
      <w:start w:val="1"/>
      <w:numFmt w:val="bullet"/>
      <w:lvlText w:val=""/>
      <w:lvlJc w:val="left"/>
      <w:pPr>
        <w:ind w:left="1775"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3" w15:restartNumberingAfterBreak="0">
    <w:nsid w:val="51F61ECD"/>
    <w:multiLevelType w:val="hybridMultilevel"/>
    <w:tmpl w:val="C1383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E930F57"/>
    <w:multiLevelType w:val="hybridMultilevel"/>
    <w:tmpl w:val="5ED47686"/>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F47"/>
    <w:rsid w:val="000F4D55"/>
    <w:rsid w:val="00127826"/>
    <w:rsid w:val="002C0049"/>
    <w:rsid w:val="002E564C"/>
    <w:rsid w:val="003727EC"/>
    <w:rsid w:val="00477F47"/>
    <w:rsid w:val="008E43C9"/>
    <w:rsid w:val="009B3726"/>
    <w:rsid w:val="009D1E4C"/>
    <w:rsid w:val="00A64579"/>
    <w:rsid w:val="00AB2B82"/>
    <w:rsid w:val="00AD43F0"/>
    <w:rsid w:val="00B03F10"/>
    <w:rsid w:val="00B11718"/>
    <w:rsid w:val="00B50D60"/>
    <w:rsid w:val="00B76BCA"/>
    <w:rsid w:val="00B86B4A"/>
    <w:rsid w:val="00B90EAE"/>
    <w:rsid w:val="00BF6A6B"/>
    <w:rsid w:val="00C3177F"/>
    <w:rsid w:val="00C564F4"/>
    <w:rsid w:val="00CE5A7F"/>
    <w:rsid w:val="00D774B5"/>
    <w:rsid w:val="00F71C10"/>
    <w:rsid w:val="00FD7346"/>
    <w:rsid w:val="00FF5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CB78D"/>
  <w15:chartTrackingRefBased/>
  <w15:docId w15:val="{5773818F-179C-465F-BABD-E7C04D2D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177F"/>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477F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77F47"/>
  </w:style>
  <w:style w:type="paragraph" w:styleId="Zpat">
    <w:name w:val="footer"/>
    <w:basedOn w:val="Normln"/>
    <w:link w:val="ZpatChar"/>
    <w:uiPriority w:val="99"/>
    <w:unhideWhenUsed/>
    <w:rsid w:val="00477F47"/>
    <w:pPr>
      <w:tabs>
        <w:tab w:val="center" w:pos="4536"/>
        <w:tab w:val="right" w:pos="9072"/>
      </w:tabs>
      <w:spacing w:after="0" w:line="240" w:lineRule="auto"/>
    </w:pPr>
  </w:style>
  <w:style w:type="character" w:customStyle="1" w:styleId="ZpatChar">
    <w:name w:val="Zápatí Char"/>
    <w:basedOn w:val="Standardnpsmoodstavce"/>
    <w:link w:val="Zpat"/>
    <w:uiPriority w:val="99"/>
    <w:rsid w:val="00477F47"/>
  </w:style>
  <w:style w:type="table" w:styleId="Mkatabulky">
    <w:name w:val="Table Grid"/>
    <w:basedOn w:val="Normlntabulka"/>
    <w:uiPriority w:val="59"/>
    <w:unhideWhenUsed/>
    <w:rsid w:val="002E5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locked/>
    <w:rsid w:val="009D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2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1463</Words>
  <Characters>8636</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Měřínská Aneta</dc:creator>
  <cp:keywords/>
  <dc:description/>
  <cp:lastModifiedBy>Měřínská Aneta</cp:lastModifiedBy>
  <cp:revision>16</cp:revision>
  <cp:lastPrinted>2023-10-11T06:10:00Z</cp:lastPrinted>
  <dcterms:created xsi:type="dcterms:W3CDTF">2023-03-30T09:40:00Z</dcterms:created>
  <dcterms:modified xsi:type="dcterms:W3CDTF">2023-10-17T06:03:00Z</dcterms:modified>
</cp:coreProperties>
</file>