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8C956" w14:textId="77777777" w:rsidR="00DB295F" w:rsidRPr="004E1498" w:rsidRDefault="00DB295F"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321172">
      <w:pPr>
        <w:pStyle w:val="Nzev"/>
        <w:keepLines w:val="0"/>
        <w:widowControl w:val="0"/>
        <w:suppressAutoHyphens w:val="0"/>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321172">
      <w:pPr>
        <w:widowControl w:val="0"/>
        <w:jc w:val="both"/>
        <w:rPr>
          <w:highlight w:val="yellow"/>
        </w:rPr>
      </w:pPr>
    </w:p>
    <w:p w14:paraId="1BB8078B" w14:textId="39F102A2" w:rsidR="00265C13" w:rsidRPr="00265C13" w:rsidRDefault="00265C13" w:rsidP="00265C13">
      <w:pPr>
        <w:widowControl w:val="0"/>
        <w:spacing w:after="0"/>
        <w:ind w:left="2835" w:hanging="2835"/>
        <w:contextualSpacing/>
        <w:jc w:val="both"/>
        <w:rPr>
          <w:rFonts w:ascii="Verdana" w:hAnsi="Verdana" w:cstheme="minorHAnsi"/>
          <w:highlight w:val="yellow"/>
        </w:rPr>
      </w:pPr>
      <w:r w:rsidRPr="00265C13">
        <w:rPr>
          <w:b/>
          <w:highlight w:val="yellow"/>
        </w:rPr>
        <w:t xml:space="preserve">Číslo smlouvy Objednatele. </w:t>
      </w:r>
      <w:r w:rsidRPr="00265C13">
        <w:rPr>
          <w:rFonts w:ascii="Verdana" w:hAnsi="Verdana" w:cstheme="minorHAnsi"/>
          <w:highlight w:val="yellow"/>
        </w:rPr>
        <w:t xml:space="preserve">[DOPLNÍ </w:t>
      </w:r>
      <w:r w:rsidR="00B111D1">
        <w:rPr>
          <w:rFonts w:ascii="Verdana" w:hAnsi="Verdana" w:cstheme="minorHAnsi"/>
          <w:highlight w:val="yellow"/>
        </w:rPr>
        <w:t>POSKYTOVATEL</w:t>
      </w:r>
      <w:r w:rsidRPr="00265C13">
        <w:rPr>
          <w:rFonts w:ascii="Verdana" w:hAnsi="Verdana" w:cstheme="minorHAnsi"/>
          <w:highlight w:val="yellow"/>
        </w:rPr>
        <w:t xml:space="preserve"> DLE ROZHODNUTÍ ZADAVATELE O VÝBĚRU </w:t>
      </w:r>
      <w:r w:rsidR="00B111D1">
        <w:rPr>
          <w:rFonts w:ascii="Verdana" w:hAnsi="Verdana" w:cstheme="minorHAnsi"/>
          <w:highlight w:val="yellow"/>
        </w:rPr>
        <w:t>POSKYTOVATELE</w:t>
      </w:r>
      <w:r w:rsidRPr="00265C13">
        <w:rPr>
          <w:rFonts w:ascii="Verdana" w:hAnsi="Verdana" w:cstheme="minorHAnsi"/>
          <w:highlight w:val="yellow"/>
        </w:rPr>
        <w:t>]</w:t>
      </w:r>
    </w:p>
    <w:p w14:paraId="7E06190A" w14:textId="77777777" w:rsidR="00265C13" w:rsidRPr="00265C13" w:rsidRDefault="00265C13" w:rsidP="00265C13">
      <w:pPr>
        <w:widowControl w:val="0"/>
        <w:spacing w:after="0"/>
        <w:contextualSpacing/>
        <w:jc w:val="both"/>
        <w:rPr>
          <w:highlight w:val="yellow"/>
        </w:rPr>
      </w:pPr>
      <w:r w:rsidRPr="00265C13">
        <w:rPr>
          <w:b/>
          <w:highlight w:val="yellow"/>
        </w:rPr>
        <w:t xml:space="preserve">Číslo smlouvy Poskytovatele. </w:t>
      </w:r>
      <w:r w:rsidRPr="00265C13">
        <w:rPr>
          <w:rFonts w:ascii="Verdana" w:hAnsi="Verdana"/>
          <w:highlight w:val="yellow"/>
        </w:rPr>
        <w:t>[DOPLNÍ POSKYTOVATEL]</w:t>
      </w:r>
    </w:p>
    <w:p w14:paraId="55A13EF4"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7B9494B" w14:textId="77777777" w:rsidR="00265C13" w:rsidRPr="00265C13" w:rsidRDefault="00265C13" w:rsidP="00265C13">
      <w:pPr>
        <w:widowControl w:val="0"/>
        <w:overflowPunct w:val="0"/>
        <w:autoSpaceDE w:val="0"/>
        <w:autoSpaceDN w:val="0"/>
        <w:adjustRightInd w:val="0"/>
        <w:spacing w:after="0" w:line="240" w:lineRule="auto"/>
        <w:contextualSpacing/>
        <w:jc w:val="both"/>
        <w:textAlignment w:val="baseline"/>
        <w:rPr>
          <w:rFonts w:eastAsia="Times New Roman" w:cs="Times New Roman"/>
          <w:b/>
          <w:lang w:eastAsia="cs-CZ"/>
        </w:rPr>
      </w:pPr>
      <w:r w:rsidRPr="00265C13">
        <w:rPr>
          <w:rFonts w:eastAsia="Times New Roman" w:cs="Times New Roman"/>
          <w:b/>
          <w:lang w:eastAsia="cs-CZ"/>
        </w:rPr>
        <w:t>Objednatel:</w:t>
      </w:r>
      <w:r w:rsidRPr="00265C13">
        <w:rPr>
          <w:rFonts w:eastAsia="Times New Roman" w:cs="Times New Roman"/>
          <w:b/>
          <w:lang w:eastAsia="cs-CZ"/>
        </w:rPr>
        <w:tab/>
        <w:t>Správa železnic, státní organizace</w:t>
      </w:r>
    </w:p>
    <w:p w14:paraId="6A3D6D41"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lang w:eastAsia="cs-CZ"/>
        </w:rPr>
      </w:pPr>
      <w:r w:rsidRPr="00265C13">
        <w:rPr>
          <w:rFonts w:eastAsia="Times New Roman" w:cs="Times New Roman"/>
          <w:lang w:eastAsia="cs-CZ"/>
        </w:rPr>
        <w:t xml:space="preserve">zapsaná v obchodním rejstříku vedeném Městským soudem v Praze pod </w:t>
      </w:r>
      <w:proofErr w:type="spellStart"/>
      <w:r w:rsidRPr="00265C13">
        <w:rPr>
          <w:rFonts w:eastAsia="Times New Roman" w:cs="Times New Roman"/>
          <w:lang w:eastAsia="cs-CZ"/>
        </w:rPr>
        <w:t>sp</w:t>
      </w:r>
      <w:proofErr w:type="spellEnd"/>
      <w:r w:rsidRPr="00265C13">
        <w:rPr>
          <w:rFonts w:eastAsia="Times New Roman" w:cs="Times New Roman"/>
          <w:lang w:eastAsia="cs-CZ"/>
        </w:rPr>
        <w:t>. zn. A 48384</w:t>
      </w:r>
    </w:p>
    <w:p w14:paraId="51953A7E"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lang w:eastAsia="cs-CZ"/>
        </w:rPr>
      </w:pPr>
      <w:r w:rsidRPr="00265C13">
        <w:rPr>
          <w:rFonts w:eastAsia="Times New Roman" w:cs="Times New Roman"/>
          <w:lang w:eastAsia="cs-CZ"/>
        </w:rPr>
        <w:t>Praha 1 - Nové Město, Dlážděná 1003/7, PSČ 110 00</w:t>
      </w:r>
    </w:p>
    <w:p w14:paraId="64F1D27B"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lang w:eastAsia="cs-CZ"/>
        </w:rPr>
      </w:pPr>
      <w:r w:rsidRPr="00265C13">
        <w:rPr>
          <w:rFonts w:eastAsia="Times New Roman" w:cs="Times New Roman"/>
          <w:lang w:eastAsia="cs-CZ"/>
        </w:rPr>
        <w:t>IČO 70994234, DIČ CZ70994234</w:t>
      </w:r>
    </w:p>
    <w:p w14:paraId="2C24A94D"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lang w:eastAsia="cs-CZ"/>
        </w:rPr>
      </w:pPr>
      <w:r w:rsidRPr="00265C13">
        <w:rPr>
          <w:rFonts w:eastAsia="Times New Roman" w:cs="Times New Roman"/>
          <w:lang w:eastAsia="cs-CZ"/>
        </w:rPr>
        <w:t xml:space="preserve">Identifikátor datové schránky: </w:t>
      </w:r>
      <w:proofErr w:type="spellStart"/>
      <w:r w:rsidRPr="00265C13">
        <w:rPr>
          <w:rFonts w:eastAsia="Times New Roman" w:cs="Times New Roman"/>
          <w:lang w:eastAsia="cs-CZ"/>
        </w:rPr>
        <w:t>uccchjm</w:t>
      </w:r>
      <w:proofErr w:type="spellEnd"/>
    </w:p>
    <w:p w14:paraId="157FC90A" w14:textId="77777777" w:rsidR="00265C13" w:rsidRPr="00265C13" w:rsidRDefault="00265C13" w:rsidP="00265C13">
      <w:pPr>
        <w:widowControl w:val="0"/>
        <w:overflowPunct w:val="0"/>
        <w:autoSpaceDE w:val="0"/>
        <w:autoSpaceDN w:val="0"/>
        <w:adjustRightInd w:val="0"/>
        <w:spacing w:after="0" w:line="240" w:lineRule="auto"/>
        <w:contextualSpacing/>
        <w:jc w:val="both"/>
        <w:textAlignment w:val="baseline"/>
        <w:rPr>
          <w:rFonts w:eastAsia="Times New Roman" w:cs="Times New Roman"/>
          <w:b/>
          <w:lang w:eastAsia="cs-CZ"/>
        </w:rPr>
      </w:pPr>
    </w:p>
    <w:p w14:paraId="625044D8" w14:textId="77777777" w:rsidR="00265C13" w:rsidRPr="00265C13" w:rsidRDefault="00265C13" w:rsidP="00265C13">
      <w:pPr>
        <w:widowControl w:val="0"/>
        <w:overflowPunct w:val="0"/>
        <w:autoSpaceDE w:val="0"/>
        <w:autoSpaceDN w:val="0"/>
        <w:adjustRightInd w:val="0"/>
        <w:spacing w:after="0" w:line="240" w:lineRule="auto"/>
        <w:contextualSpacing/>
        <w:jc w:val="both"/>
        <w:textAlignment w:val="baseline"/>
        <w:rPr>
          <w:rFonts w:eastAsia="Times New Roman" w:cs="Times New Roman"/>
          <w:lang w:eastAsia="cs-CZ"/>
        </w:rPr>
      </w:pPr>
      <w:r w:rsidRPr="00265C13">
        <w:rPr>
          <w:rFonts w:eastAsia="Times New Roman" w:cs="Times New Roman"/>
          <w:lang w:eastAsia="cs-CZ"/>
        </w:rPr>
        <w:t>Organizační jednotka Objednatele:</w:t>
      </w:r>
    </w:p>
    <w:p w14:paraId="3C6E05DC"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lang w:eastAsia="cs-CZ"/>
        </w:rPr>
      </w:pPr>
      <w:r w:rsidRPr="00265C13">
        <w:rPr>
          <w:rFonts w:eastAsia="Times New Roman" w:cs="Times New Roman"/>
          <w:lang w:eastAsia="cs-CZ"/>
        </w:rPr>
        <w:t>Oblastní ředitelství Praha</w:t>
      </w:r>
    </w:p>
    <w:p w14:paraId="63E39845"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lang w:eastAsia="cs-CZ"/>
        </w:rPr>
      </w:pPr>
      <w:r w:rsidRPr="00265C13">
        <w:rPr>
          <w:rFonts w:eastAsia="Times New Roman" w:cs="Times New Roman"/>
          <w:lang w:eastAsia="cs-CZ"/>
        </w:rPr>
        <w:t>Partyzánská 24, 170 00 Praha 7</w:t>
      </w:r>
    </w:p>
    <w:p w14:paraId="2D55769E" w14:textId="77777777" w:rsidR="00265C13" w:rsidRPr="00265C13" w:rsidRDefault="00265C13" w:rsidP="00265C13">
      <w:pPr>
        <w:widowControl w:val="0"/>
        <w:spacing w:after="0"/>
        <w:contextualSpacing/>
        <w:jc w:val="both"/>
      </w:pPr>
      <w:r w:rsidRPr="00265C13">
        <w:t>Zastoupená:</w:t>
      </w:r>
      <w:r w:rsidRPr="00265C13">
        <w:tab/>
        <w:t xml:space="preserve">Ing. Vladimír Filip, ředitel Oblastního ředitelství Praha, </w:t>
      </w:r>
      <w:r w:rsidRPr="00265C13">
        <w:rPr>
          <w:rFonts w:ascii="Verdana" w:eastAsia="Verdana" w:hAnsi="Verdana" w:cs="Times New Roman"/>
          <w:noProof/>
        </w:rPr>
        <w:t xml:space="preserve">na základě pověření č. 2381 ze dne 21. 3. 2018 </w:t>
      </w:r>
      <w:r w:rsidRPr="00265C13" w:rsidDel="004D367A">
        <w:t xml:space="preserve"> </w:t>
      </w:r>
    </w:p>
    <w:p w14:paraId="42B46649" w14:textId="77777777" w:rsidR="00265C13" w:rsidRPr="00265C13" w:rsidRDefault="00265C13" w:rsidP="00265C13">
      <w:pPr>
        <w:spacing w:after="0"/>
        <w:contextualSpacing/>
        <w:jc w:val="both"/>
        <w:rPr>
          <w:b/>
          <w:color w:val="595959" w:themeColor="text1" w:themeTint="A6"/>
        </w:rPr>
      </w:pPr>
    </w:p>
    <w:p w14:paraId="1DC4E506" w14:textId="77777777" w:rsidR="00265C13" w:rsidRPr="00265C13" w:rsidRDefault="00265C13" w:rsidP="00265C13">
      <w:pPr>
        <w:spacing w:after="0"/>
        <w:contextualSpacing/>
        <w:jc w:val="both"/>
        <w:rPr>
          <w:b/>
        </w:rPr>
      </w:pPr>
      <w:r w:rsidRPr="00265C13">
        <w:rPr>
          <w:b/>
          <w:iCs/>
        </w:rPr>
        <w:t xml:space="preserve">Korespondenční adresa: </w:t>
      </w:r>
    </w:p>
    <w:p w14:paraId="2592DD3D" w14:textId="77777777" w:rsidR="00265C13" w:rsidRPr="00265C13" w:rsidRDefault="00265C13" w:rsidP="00265C13">
      <w:pPr>
        <w:spacing w:after="0"/>
        <w:contextualSpacing/>
        <w:jc w:val="both"/>
      </w:pPr>
      <w:r w:rsidRPr="00265C13">
        <w:t>Správa železnic, státní organizace</w:t>
      </w:r>
    </w:p>
    <w:p w14:paraId="0E3E40A2" w14:textId="77777777" w:rsidR="00265C13" w:rsidRPr="00265C13" w:rsidRDefault="00265C13" w:rsidP="00265C13">
      <w:pPr>
        <w:spacing w:after="0"/>
        <w:contextualSpacing/>
        <w:jc w:val="both"/>
      </w:pPr>
      <w:r w:rsidRPr="00265C13">
        <w:t xml:space="preserve">Oblastní ředitelství Praha </w:t>
      </w:r>
    </w:p>
    <w:p w14:paraId="054247AB" w14:textId="77777777" w:rsidR="00265C13" w:rsidRPr="00265C13" w:rsidRDefault="00265C13" w:rsidP="00265C13">
      <w:pPr>
        <w:spacing w:after="0"/>
        <w:contextualSpacing/>
        <w:jc w:val="both"/>
      </w:pPr>
      <w:r w:rsidRPr="00265C13">
        <w:t>Partyzánská 24, 170 00 Praha 7</w:t>
      </w:r>
    </w:p>
    <w:p w14:paraId="5AC4232B" w14:textId="77777777" w:rsidR="00265C13" w:rsidRPr="00265C13" w:rsidRDefault="00265C13" w:rsidP="00265C13">
      <w:pPr>
        <w:widowControl w:val="0"/>
        <w:overflowPunct w:val="0"/>
        <w:autoSpaceDE w:val="0"/>
        <w:autoSpaceDN w:val="0"/>
        <w:adjustRightInd w:val="0"/>
        <w:spacing w:after="0" w:line="240" w:lineRule="auto"/>
        <w:contextualSpacing/>
        <w:jc w:val="both"/>
        <w:textAlignment w:val="baseline"/>
        <w:rPr>
          <w:rFonts w:eastAsia="Times New Roman" w:cs="Times New Roman"/>
          <w:lang w:eastAsia="cs-CZ"/>
        </w:rPr>
      </w:pPr>
    </w:p>
    <w:p w14:paraId="3185FD5E" w14:textId="77777777" w:rsidR="00265C13" w:rsidRPr="00265C13" w:rsidRDefault="00265C13" w:rsidP="00265C13">
      <w:pPr>
        <w:spacing w:after="0"/>
        <w:contextualSpacing/>
        <w:jc w:val="both"/>
      </w:pPr>
      <w:r w:rsidRPr="00265C13">
        <w:t>(dále jen „</w:t>
      </w:r>
      <w:r w:rsidRPr="00265C13">
        <w:rPr>
          <w:b/>
        </w:rPr>
        <w:t>Objednatel</w:t>
      </w:r>
      <w:r w:rsidRPr="00265C13">
        <w:t>“)</w:t>
      </w:r>
    </w:p>
    <w:p w14:paraId="4CC3B95E"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BAB2DFB"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3C5C6200" w14:textId="6DFED824" w:rsidR="00265C13" w:rsidRPr="00265C13" w:rsidRDefault="00265C13" w:rsidP="00265C13">
      <w:pPr>
        <w:widowControl w:val="0"/>
        <w:overflowPunct w:val="0"/>
        <w:autoSpaceDE w:val="0"/>
        <w:autoSpaceDN w:val="0"/>
        <w:adjustRightInd w:val="0"/>
        <w:spacing w:after="0" w:line="240" w:lineRule="auto"/>
        <w:contextualSpacing/>
        <w:jc w:val="both"/>
        <w:textAlignment w:val="baseline"/>
        <w:rPr>
          <w:rFonts w:eastAsia="Times New Roman" w:cs="Times New Roman"/>
          <w:highlight w:val="yellow"/>
          <w:lang w:eastAsia="cs-CZ"/>
        </w:rPr>
      </w:pPr>
      <w:r w:rsidRPr="00265C13">
        <w:rPr>
          <w:rFonts w:eastAsia="Times New Roman" w:cs="Times New Roman"/>
          <w:b/>
          <w:lang w:eastAsia="cs-CZ"/>
        </w:rPr>
        <w:t>Poskytovatel:</w:t>
      </w:r>
      <w:r w:rsidRPr="00265C13">
        <w:rPr>
          <w:rFonts w:eastAsia="Times New Roman" w:cs="Times New Roman"/>
          <w:lang w:eastAsia="cs-CZ"/>
        </w:rPr>
        <w:tab/>
      </w:r>
      <w:r w:rsidRPr="00265C13">
        <w:rPr>
          <w:rFonts w:eastAsia="Times New Roman" w:cs="Times New Roman"/>
          <w:highlight w:val="yellow"/>
          <w:lang w:eastAsia="cs-CZ"/>
        </w:rPr>
        <w:t xml:space="preserve">jméno osoby/název společnosti </w:t>
      </w:r>
      <w:r w:rsidRPr="00265C13">
        <w:rPr>
          <w:rFonts w:ascii="Verdana" w:hAnsi="Verdana"/>
          <w:highlight w:val="yellow"/>
        </w:rPr>
        <w:t xml:space="preserve">[DOPLNÍ </w:t>
      </w:r>
      <w:r w:rsidR="00B111D1">
        <w:rPr>
          <w:rFonts w:ascii="Verdana" w:hAnsi="Verdana"/>
          <w:highlight w:val="yellow"/>
        </w:rPr>
        <w:t>POSKYTOVATEL</w:t>
      </w:r>
      <w:r w:rsidRPr="00265C13">
        <w:rPr>
          <w:rFonts w:ascii="Verdana" w:hAnsi="Verdana"/>
          <w:highlight w:val="yellow"/>
        </w:rPr>
        <w:t>]</w:t>
      </w:r>
    </w:p>
    <w:p w14:paraId="3F287C88"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highlight w:val="yellow"/>
          <w:lang w:eastAsia="cs-CZ"/>
        </w:rPr>
      </w:pPr>
      <w:r w:rsidRPr="00265C13">
        <w:rPr>
          <w:rFonts w:eastAsia="Times New Roman" w:cs="Times New Roman"/>
          <w:highlight w:val="yellow"/>
          <w:lang w:eastAsia="cs-CZ"/>
        </w:rPr>
        <w:t>údaje o zápisu v evidenci</w:t>
      </w:r>
    </w:p>
    <w:p w14:paraId="0F3E41C7"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highlight w:val="yellow"/>
          <w:lang w:eastAsia="cs-CZ"/>
        </w:rPr>
      </w:pPr>
      <w:r w:rsidRPr="00265C13">
        <w:rPr>
          <w:rFonts w:eastAsia="Times New Roman" w:cs="Times New Roman"/>
          <w:highlight w:val="yellow"/>
          <w:lang w:eastAsia="cs-CZ"/>
        </w:rPr>
        <w:t>Sídlo:</w:t>
      </w:r>
    </w:p>
    <w:p w14:paraId="626E36FF"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highlight w:val="yellow"/>
          <w:lang w:eastAsia="cs-CZ"/>
        </w:rPr>
      </w:pPr>
      <w:r w:rsidRPr="00265C13">
        <w:rPr>
          <w:rFonts w:eastAsia="Times New Roman" w:cs="Times New Roman"/>
          <w:highlight w:val="yellow"/>
          <w:lang w:eastAsia="cs-CZ"/>
        </w:rPr>
        <w:t>IČO ……………………, DIČ …………………</w:t>
      </w:r>
    </w:p>
    <w:p w14:paraId="3940CE52"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highlight w:val="yellow"/>
          <w:lang w:eastAsia="cs-CZ"/>
        </w:rPr>
      </w:pPr>
      <w:r w:rsidRPr="00265C13">
        <w:rPr>
          <w:rFonts w:eastAsia="Times New Roman" w:cs="Times New Roman"/>
          <w:highlight w:val="yellow"/>
          <w:lang w:eastAsia="cs-CZ"/>
        </w:rPr>
        <w:t xml:space="preserve">Bankovní </w:t>
      </w:r>
      <w:proofErr w:type="gramStart"/>
      <w:r w:rsidRPr="00265C13">
        <w:rPr>
          <w:rFonts w:eastAsia="Times New Roman" w:cs="Times New Roman"/>
          <w:highlight w:val="yellow"/>
          <w:lang w:eastAsia="cs-CZ"/>
        </w:rPr>
        <w:t>spojení:…</w:t>
      </w:r>
      <w:proofErr w:type="gramEnd"/>
      <w:r w:rsidRPr="00265C13">
        <w:rPr>
          <w:rFonts w:eastAsia="Times New Roman" w:cs="Times New Roman"/>
          <w:highlight w:val="yellow"/>
          <w:lang w:eastAsia="cs-CZ"/>
        </w:rPr>
        <w:t>…………………..</w:t>
      </w:r>
    </w:p>
    <w:p w14:paraId="0637F908"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highlight w:val="yellow"/>
          <w:lang w:eastAsia="cs-CZ"/>
        </w:rPr>
      </w:pPr>
      <w:r w:rsidRPr="00265C13">
        <w:rPr>
          <w:rFonts w:eastAsia="Times New Roman" w:cs="Times New Roman"/>
          <w:highlight w:val="yellow"/>
          <w:lang w:eastAsia="cs-CZ"/>
        </w:rPr>
        <w:t xml:space="preserve">Číslo </w:t>
      </w:r>
      <w:proofErr w:type="gramStart"/>
      <w:r w:rsidRPr="00265C13">
        <w:rPr>
          <w:rFonts w:eastAsia="Times New Roman" w:cs="Times New Roman"/>
          <w:highlight w:val="yellow"/>
          <w:lang w:eastAsia="cs-CZ"/>
        </w:rPr>
        <w:t>účtu:…</w:t>
      </w:r>
      <w:proofErr w:type="gramEnd"/>
      <w:r w:rsidRPr="00265C13">
        <w:rPr>
          <w:rFonts w:eastAsia="Times New Roman" w:cs="Times New Roman"/>
          <w:highlight w:val="yellow"/>
          <w:lang w:eastAsia="cs-CZ"/>
        </w:rPr>
        <w:t>………………………..</w:t>
      </w:r>
    </w:p>
    <w:p w14:paraId="2C596832" w14:textId="77777777" w:rsidR="00265C13" w:rsidRPr="00265C13" w:rsidRDefault="00265C13" w:rsidP="00265C13">
      <w:pPr>
        <w:widowControl w:val="0"/>
        <w:overflowPunct w:val="0"/>
        <w:autoSpaceDE w:val="0"/>
        <w:autoSpaceDN w:val="0"/>
        <w:adjustRightInd w:val="0"/>
        <w:spacing w:after="0" w:line="240" w:lineRule="auto"/>
        <w:ind w:left="1418"/>
        <w:contextualSpacing/>
        <w:jc w:val="both"/>
        <w:textAlignment w:val="baseline"/>
        <w:rPr>
          <w:rFonts w:eastAsia="Times New Roman" w:cs="Times New Roman"/>
          <w:lang w:eastAsia="cs-CZ"/>
        </w:rPr>
      </w:pPr>
      <w:r w:rsidRPr="00265C13">
        <w:rPr>
          <w:rFonts w:eastAsia="Times New Roman" w:cs="Times New Roman"/>
          <w:highlight w:val="yellow"/>
          <w:lang w:eastAsia="cs-CZ"/>
        </w:rPr>
        <w:t>údaje o statutárním orgánu nebo jiné oprávněné osobě</w:t>
      </w:r>
    </w:p>
    <w:p w14:paraId="7CFF1A28" w14:textId="77777777" w:rsidR="00265C13" w:rsidRPr="00265C13" w:rsidRDefault="00265C13" w:rsidP="00265C13">
      <w:pPr>
        <w:widowControl w:val="0"/>
        <w:overflowPunct w:val="0"/>
        <w:autoSpaceDE w:val="0"/>
        <w:autoSpaceDN w:val="0"/>
        <w:adjustRightInd w:val="0"/>
        <w:spacing w:after="0" w:line="240" w:lineRule="auto"/>
        <w:contextualSpacing/>
        <w:jc w:val="both"/>
        <w:textAlignment w:val="baseline"/>
        <w:rPr>
          <w:rFonts w:eastAsia="Times New Roman" w:cs="Times New Roman"/>
          <w:i/>
          <w:lang w:eastAsia="cs-CZ"/>
        </w:rPr>
      </w:pPr>
    </w:p>
    <w:p w14:paraId="619B621F" w14:textId="77777777" w:rsidR="00265C13" w:rsidRPr="00265C13" w:rsidRDefault="00265C13" w:rsidP="00265C13">
      <w:pPr>
        <w:widowControl w:val="0"/>
        <w:overflowPunct w:val="0"/>
        <w:autoSpaceDE w:val="0"/>
        <w:autoSpaceDN w:val="0"/>
        <w:adjustRightInd w:val="0"/>
        <w:spacing w:after="0" w:line="240" w:lineRule="auto"/>
        <w:contextualSpacing/>
        <w:jc w:val="both"/>
        <w:textAlignment w:val="baseline"/>
        <w:rPr>
          <w:rFonts w:eastAsia="Times New Roman" w:cs="Times New Roman"/>
          <w:iCs/>
          <w:lang w:eastAsia="cs-CZ"/>
        </w:rPr>
      </w:pPr>
      <w:r w:rsidRPr="00265C13">
        <w:rPr>
          <w:rFonts w:eastAsia="Times New Roman" w:cs="Times New Roman"/>
          <w:iCs/>
          <w:lang w:eastAsia="cs-CZ"/>
        </w:rPr>
        <w:t>(dále jen „</w:t>
      </w:r>
      <w:r w:rsidRPr="00265C13">
        <w:rPr>
          <w:rFonts w:eastAsia="Times New Roman" w:cs="Times New Roman"/>
          <w:b/>
          <w:bCs/>
          <w:iCs/>
          <w:lang w:eastAsia="cs-CZ"/>
        </w:rPr>
        <w:t>Poskytovatel</w:t>
      </w:r>
      <w:r w:rsidRPr="00265C13">
        <w:rPr>
          <w:rFonts w:eastAsia="Times New Roman" w:cs="Times New Roman"/>
          <w:iCs/>
          <w:lang w:eastAsia="cs-CZ"/>
        </w:rPr>
        <w:t>“)</w:t>
      </w:r>
    </w:p>
    <w:p w14:paraId="50326DD2" w14:textId="79FBC733" w:rsidR="004E1498" w:rsidRPr="006C7697"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21CB7A77" w:rsidR="004E1498" w:rsidRPr="004E1498" w:rsidRDefault="004E1498" w:rsidP="00265C13">
      <w:pPr>
        <w:widowControl w:val="0"/>
        <w:spacing w:after="120"/>
        <w:jc w:val="both"/>
        <w:rPr>
          <w:rFonts w:eastAsia="Times New Roman" w:cs="Times New Roman"/>
          <w:lang w:eastAsia="cs-CZ"/>
        </w:rPr>
      </w:pPr>
      <w:r w:rsidRPr="00265C13">
        <w:rPr>
          <w:rFonts w:eastAsia="Times New Roman" w:cs="Times New Roman"/>
          <w:lang w:eastAsia="cs-CZ"/>
        </w:rPr>
        <w:t xml:space="preserve">Tato smlouva je uzavřena na základě výsledků </w:t>
      </w:r>
      <w:r w:rsidR="00AE74AE" w:rsidRPr="00265C13">
        <w:rPr>
          <w:rFonts w:eastAsia="Times New Roman" w:cs="Times New Roman"/>
          <w:lang w:eastAsia="cs-CZ"/>
        </w:rPr>
        <w:t>výběrového</w:t>
      </w:r>
      <w:r w:rsidRPr="00265C13">
        <w:rPr>
          <w:rFonts w:eastAsia="Times New Roman" w:cs="Times New Roman"/>
          <w:lang w:eastAsia="cs-CZ"/>
        </w:rPr>
        <w:t xml:space="preserve"> řízení veřejné zakázky s názvem </w:t>
      </w:r>
      <w:r w:rsidR="006062F9" w:rsidRPr="00265C13">
        <w:rPr>
          <w:rFonts w:eastAsia="Times New Roman" w:cs="Times New Roman"/>
          <w:b/>
          <w:lang w:eastAsia="cs-CZ"/>
        </w:rPr>
        <w:t>„</w:t>
      </w:r>
      <w:r w:rsidR="00265C13" w:rsidRPr="00265C13">
        <w:rPr>
          <w:rFonts w:eastAsia="Times New Roman" w:cs="Times New Roman"/>
          <w:b/>
          <w:lang w:eastAsia="cs-CZ"/>
        </w:rPr>
        <w:t xml:space="preserve">Dohled nad EZS u </w:t>
      </w:r>
      <w:proofErr w:type="spellStart"/>
      <w:r w:rsidR="00265C13" w:rsidRPr="00265C13">
        <w:rPr>
          <w:rFonts w:eastAsia="Times New Roman" w:cs="Times New Roman"/>
          <w:b/>
          <w:lang w:eastAsia="cs-CZ"/>
        </w:rPr>
        <w:t>technol</w:t>
      </w:r>
      <w:proofErr w:type="spellEnd"/>
      <w:r w:rsidR="00265C13" w:rsidRPr="00265C13">
        <w:rPr>
          <w:rFonts w:eastAsia="Times New Roman" w:cs="Times New Roman"/>
          <w:b/>
          <w:lang w:eastAsia="cs-CZ"/>
        </w:rPr>
        <w:t xml:space="preserve">. objektů v obvodu OŘ Praha </w:t>
      </w:r>
      <w:proofErr w:type="gramStart"/>
      <w:r w:rsidR="00265C13" w:rsidRPr="00265C13">
        <w:rPr>
          <w:rFonts w:eastAsia="Times New Roman" w:cs="Times New Roman"/>
          <w:b/>
          <w:lang w:eastAsia="cs-CZ"/>
        </w:rPr>
        <w:t>2023 - 2027</w:t>
      </w:r>
      <w:proofErr w:type="gramEnd"/>
      <w:r w:rsidR="006062F9" w:rsidRPr="00265C13">
        <w:rPr>
          <w:rFonts w:eastAsia="Times New Roman" w:cs="Times New Roman"/>
          <w:lang w:eastAsia="cs-CZ"/>
        </w:rPr>
        <w:t xml:space="preserve">“, č. j. veřejné zakázky: </w:t>
      </w:r>
      <w:r w:rsidR="00265C13" w:rsidRPr="00265C13">
        <w:rPr>
          <w:rFonts w:eastAsia="Times New Roman" w:cs="Times New Roman"/>
          <w:lang w:eastAsia="cs-CZ"/>
        </w:rPr>
        <w:t>36343/2023-SŽ-OŘ PHA-OVZ</w:t>
      </w:r>
      <w:r w:rsidR="006062F9" w:rsidRPr="00265C13">
        <w:rPr>
          <w:rFonts w:eastAsia="Times New Roman" w:cs="Times New Roman"/>
          <w:lang w:eastAsia="cs-CZ"/>
        </w:rPr>
        <w:t xml:space="preserve"> (dále jen „</w:t>
      </w:r>
      <w:r w:rsidR="00E64568" w:rsidRPr="00265C13">
        <w:rPr>
          <w:rFonts w:eastAsia="Times New Roman" w:cs="Times New Roman"/>
          <w:b/>
          <w:lang w:eastAsia="cs-CZ"/>
        </w:rPr>
        <w:t xml:space="preserve">Veřejná </w:t>
      </w:r>
      <w:r w:rsidR="006062F9" w:rsidRPr="00265C13">
        <w:rPr>
          <w:rFonts w:eastAsia="Times New Roman" w:cs="Times New Roman"/>
          <w:b/>
          <w:lang w:eastAsia="cs-CZ"/>
        </w:rPr>
        <w:t>zakázka</w:t>
      </w:r>
      <w:r w:rsidR="006062F9" w:rsidRPr="00265C13">
        <w:rPr>
          <w:rFonts w:eastAsia="Times New Roman" w:cs="Times New Roman"/>
          <w:lang w:eastAsia="cs-CZ"/>
        </w:rPr>
        <w:t>“). Jednotlivá ustanovení</w:t>
      </w:r>
      <w:r w:rsidR="006062F9" w:rsidRPr="006062F9">
        <w:rPr>
          <w:rFonts w:eastAsia="Times New Roman" w:cs="Times New Roman"/>
          <w:lang w:eastAsia="cs-CZ"/>
        </w:rPr>
        <w:t xml:space="preserve">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p>
    <w:p w14:paraId="642B196F" w14:textId="13C14B28" w:rsidR="004E1498" w:rsidRPr="00950C1F" w:rsidRDefault="00E73DA0" w:rsidP="00321172">
      <w:pPr>
        <w:pStyle w:val="Nadpis1"/>
        <w:widowControl w:val="0"/>
        <w:suppressAutoHyphens w:val="0"/>
        <w:jc w:val="both"/>
      </w:pPr>
      <w:r>
        <w:t>Služby</w:t>
      </w:r>
    </w:p>
    <w:p w14:paraId="75B8D031" w14:textId="4552A603" w:rsidR="004E1498" w:rsidRPr="006062F9" w:rsidRDefault="00E73DA0">
      <w:pPr>
        <w:pStyle w:val="Nadpis2"/>
        <w:widowControl w:val="0"/>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jc w:val="both"/>
        <w:rPr>
          <w:rFonts w:eastAsia="Times New Roman"/>
          <w:lang w:eastAsia="cs-CZ"/>
        </w:rPr>
      </w:pPr>
      <w:r>
        <w:rPr>
          <w:rFonts w:eastAsia="Times New Roman"/>
          <w:lang w:eastAsia="cs-CZ"/>
        </w:rPr>
        <w:t>Předmět služeb</w:t>
      </w:r>
    </w:p>
    <w:p w14:paraId="1C06E91E" w14:textId="77777777" w:rsidR="00265C13" w:rsidRPr="00265C13" w:rsidRDefault="004E1498" w:rsidP="00265C13">
      <w:pPr>
        <w:pStyle w:val="Nadpis2"/>
        <w:widowControl w:val="0"/>
      </w:pPr>
      <w:r w:rsidRPr="00265C13">
        <w:t xml:space="preserve">Předmětem </w:t>
      </w:r>
      <w:r w:rsidR="00E73DA0" w:rsidRPr="00265C13">
        <w:t>služeb</w:t>
      </w:r>
      <w:r w:rsidRPr="00265C13">
        <w:t xml:space="preserve"> je </w:t>
      </w:r>
      <w:r w:rsidR="00265C13" w:rsidRPr="00265C13">
        <w:t xml:space="preserve">závazek poskytovatele provedení dohledu nad EZS u technologických objektů Správy železnic v obvodu OŘ Praha k zajištění bezpečného a plynulého provozu na železnici, a na základě převzetí telefonické informace o poplachové události </w:t>
      </w:r>
      <w:r w:rsidR="00265C13" w:rsidRPr="00265C13">
        <w:lastRenderedPageBreak/>
        <w:t>z dispečinku odběratele, provést neprodleně všechna dohodnutá účinná opatření a odborný zásah.</w:t>
      </w:r>
    </w:p>
    <w:p w14:paraId="03F039C6" w14:textId="71DEDC89" w:rsidR="004E1498" w:rsidRPr="006062F9" w:rsidRDefault="00265C13" w:rsidP="00265C13">
      <w:pPr>
        <w:pStyle w:val="Nadpis2"/>
        <w:widowControl w:val="0"/>
        <w:numPr>
          <w:ilvl w:val="0"/>
          <w:numId w:val="0"/>
        </w:numPr>
        <w:ind w:left="576"/>
      </w:pPr>
      <w:r>
        <w:t>Součástí předmětu plnění je povinnost dodavatele provést všechna potřebná opatření pro zajištění nepřetržité připravenosti k provedení zásahu v objektu odběratele (rozumí se tzv. zásahový plán – příjezd, popis objektu, připravenost výjezdové jednotky atd.). Dojezdový čas bude do 30 minut od zaznamenání poplachu.</w:t>
      </w:r>
      <w:r w:rsidRPr="006062F9">
        <w:t xml:space="preserve"> </w:t>
      </w:r>
      <w:r w:rsidR="00B75DAD" w:rsidRPr="006062F9">
        <w:t>(dále jen „</w:t>
      </w:r>
      <w:r w:rsidR="00B75DAD">
        <w:rPr>
          <w:b/>
        </w:rPr>
        <w:t>Dílo, Předmět služeb</w:t>
      </w:r>
      <w:r w:rsidR="00B75DAD" w:rsidRPr="006062F9">
        <w:t>“)</w:t>
      </w:r>
    </w:p>
    <w:p w14:paraId="31E5226B" w14:textId="02FDAB27" w:rsidR="004E1498" w:rsidRPr="00B6563F" w:rsidRDefault="004E1498" w:rsidP="00321172">
      <w:pPr>
        <w:pStyle w:val="Nadpis2"/>
        <w:widowControl w:val="0"/>
        <w:rPr>
          <w:rFonts w:asciiTheme="majorHAnsi" w:hAnsiTheme="majorHAnsi"/>
        </w:rPr>
      </w:pPr>
      <w:r w:rsidRPr="00B6563F">
        <w:t xml:space="preserve">Předmět </w:t>
      </w:r>
      <w:r w:rsidR="00E73DA0" w:rsidRPr="00B6563F">
        <w:t>služeb</w:t>
      </w:r>
      <w:r w:rsidRPr="00B6563F">
        <w:t xml:space="preserve"> je blíže specifikován v</w:t>
      </w:r>
      <w:r w:rsidR="006062F9" w:rsidRPr="00B6563F">
        <w:t> bližší specifikaci předmětu plnění</w:t>
      </w:r>
      <w:r w:rsidR="0086114C" w:rsidRPr="00B6563F">
        <w:t>,</w:t>
      </w:r>
      <w:r w:rsidRPr="00B6563F">
        <w:t xml:space="preserve"> která je </w:t>
      </w:r>
      <w:r w:rsidR="00265C13" w:rsidRPr="00B6563F">
        <w:t>P</w:t>
      </w:r>
      <w:r w:rsidRPr="00B6563F">
        <w:t xml:space="preserve">řílohou </w:t>
      </w:r>
      <w:r w:rsidR="006F7CD7" w:rsidRPr="00B6563F">
        <w:rPr>
          <w:rFonts w:asciiTheme="majorHAnsi" w:hAnsiTheme="majorHAnsi"/>
        </w:rPr>
        <w:t xml:space="preserve">č. </w:t>
      </w:r>
      <w:r w:rsidR="00265C13" w:rsidRPr="00B6563F">
        <w:rPr>
          <w:rFonts w:asciiTheme="majorHAnsi" w:hAnsiTheme="majorHAnsi"/>
        </w:rPr>
        <w:t>2</w:t>
      </w:r>
      <w:r w:rsidR="006062F9" w:rsidRPr="00B6563F">
        <w:rPr>
          <w:rFonts w:asciiTheme="majorHAnsi" w:hAnsiTheme="majorHAnsi"/>
        </w:rPr>
        <w:t xml:space="preserve"> </w:t>
      </w:r>
      <w:r w:rsidRPr="00B6563F">
        <w:rPr>
          <w:rFonts w:asciiTheme="majorHAnsi" w:hAnsiTheme="majorHAnsi"/>
        </w:rPr>
        <w:t>této smlouvy.</w:t>
      </w:r>
    </w:p>
    <w:p w14:paraId="600D21AE" w14:textId="1C3F96B9"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AA2D16A" w14:textId="31202F6A" w:rsidR="00265C13" w:rsidRPr="00B6563F" w:rsidRDefault="00265C13" w:rsidP="00265C13">
      <w:pPr>
        <w:pStyle w:val="Nadpis2"/>
        <w:rPr>
          <w:rFonts w:ascii="Verdana" w:eastAsia="Verdana" w:hAnsi="Verdana"/>
          <w:noProof/>
        </w:rPr>
      </w:pPr>
      <w:r w:rsidRPr="00B6563F">
        <w:rPr>
          <w:rFonts w:eastAsia="Verdana"/>
          <w:noProof/>
        </w:rPr>
        <w:t>Jednotkové ceny jsou</w:t>
      </w:r>
      <w:r w:rsidR="009945D6" w:rsidRPr="00B6563F">
        <w:rPr>
          <w:rFonts w:ascii="Verdana" w:eastAsia="Verdana" w:hAnsi="Verdana"/>
          <w:noProof/>
        </w:rPr>
        <w:t xml:space="preserve"> stanoven</w:t>
      </w:r>
      <w:r w:rsidRPr="00B6563F">
        <w:rPr>
          <w:rFonts w:ascii="Verdana" w:eastAsia="Verdana" w:hAnsi="Verdana"/>
          <w:noProof/>
        </w:rPr>
        <w:t>y</w:t>
      </w:r>
      <w:r w:rsidR="009945D6" w:rsidRPr="00B6563F">
        <w:rPr>
          <w:rFonts w:ascii="Verdana" w:eastAsia="Verdana" w:hAnsi="Verdana"/>
          <w:noProof/>
        </w:rPr>
        <w:t xml:space="preserve"> jako nejvýše přípustn</w:t>
      </w:r>
      <w:r w:rsidRPr="00B6563F">
        <w:rPr>
          <w:rFonts w:ascii="Verdana" w:eastAsia="Verdana" w:hAnsi="Verdana"/>
          <w:noProof/>
        </w:rPr>
        <w:t>é</w:t>
      </w:r>
      <w:r w:rsidR="009945D6" w:rsidRPr="00B6563F">
        <w:rPr>
          <w:rFonts w:ascii="Verdana" w:eastAsia="Verdana" w:hAnsi="Verdana"/>
          <w:noProof/>
        </w:rPr>
        <w:t xml:space="preserve"> na základě výzvy k podání nabídky a nabídky poskytovatele a </w:t>
      </w:r>
      <w:r w:rsidRPr="00B6563F">
        <w:rPr>
          <w:rFonts w:ascii="Verdana" w:eastAsia="Verdana" w:hAnsi="Verdana"/>
          <w:noProof/>
        </w:rPr>
        <w:t xml:space="preserve">jsou </w:t>
      </w:r>
      <w:r w:rsidR="00490CF1" w:rsidRPr="00B6563F">
        <w:rPr>
          <w:rFonts w:ascii="Verdana" w:eastAsia="Verdana" w:hAnsi="Verdana"/>
          <w:noProof/>
        </w:rPr>
        <w:t>uveden</w:t>
      </w:r>
      <w:r w:rsidRPr="00B6563F">
        <w:rPr>
          <w:rFonts w:ascii="Verdana" w:eastAsia="Verdana" w:hAnsi="Verdana"/>
          <w:noProof/>
        </w:rPr>
        <w:t>y</w:t>
      </w:r>
      <w:r w:rsidR="00490CF1" w:rsidRPr="00B6563F">
        <w:rPr>
          <w:rFonts w:ascii="Verdana" w:eastAsia="Verdana" w:hAnsi="Verdana"/>
          <w:noProof/>
        </w:rPr>
        <w:t xml:space="preserve"> v Příloze č. 2 </w:t>
      </w:r>
      <w:r w:rsidR="009945D6" w:rsidRPr="00B6563F">
        <w:rPr>
          <w:rFonts w:ascii="Verdana" w:eastAsia="Verdana" w:hAnsi="Verdana"/>
          <w:noProof/>
        </w:rPr>
        <w:t>této Smlouvy.</w:t>
      </w:r>
    </w:p>
    <w:p w14:paraId="0195713A" w14:textId="1DDAA179" w:rsidR="009945D6" w:rsidRPr="00A041EA" w:rsidRDefault="009945D6" w:rsidP="00B6563F">
      <w:pPr>
        <w:pStyle w:val="Nadpis2"/>
      </w:pPr>
      <w:r>
        <w:t>Předmět služeb je hrazen</w:t>
      </w:r>
      <w:r w:rsidRPr="00A041EA">
        <w:t xml:space="preserve"> z hlavní činnosti.</w:t>
      </w:r>
    </w:p>
    <w:p w14:paraId="7CD6B6BF" w14:textId="67716038" w:rsidR="006062F9" w:rsidRPr="00B6563F" w:rsidRDefault="0018287F" w:rsidP="00B6563F">
      <w:pPr>
        <w:pStyle w:val="Nadpis2"/>
        <w:rPr>
          <w:rFonts w:asciiTheme="majorHAnsi" w:hAnsiTheme="majorHAnsi"/>
        </w:rPr>
      </w:pPr>
      <w:r>
        <w:rPr>
          <w:rFonts w:eastAsia="Verdana"/>
          <w:noProof/>
        </w:rPr>
        <w:t>Cena celého předmětu služeb</w:t>
      </w:r>
      <w:r w:rsidR="009945D6" w:rsidRPr="00362E19">
        <w:rPr>
          <w:rFonts w:eastAsia="Verdana"/>
          <w:noProof/>
        </w:rPr>
        <w:t xml:space="preserve"> je stanovena výsledkem výběrového řízení jako nejvýše přípustná s výjimkou změn dodatečně vyžádan</w:t>
      </w:r>
      <w:r>
        <w:rPr>
          <w:rFonts w:eastAsia="Verdana"/>
          <w:noProof/>
        </w:rPr>
        <w:t>ých objednatelem a potvrzených poskytovatelem</w:t>
      </w:r>
      <w:r w:rsidR="009945D6" w:rsidRPr="00362E19">
        <w:rPr>
          <w:rFonts w:eastAsia="Verdana"/>
          <w:noProof/>
        </w:rPr>
        <w:t xml:space="preserve">. </w:t>
      </w:r>
      <w:r>
        <w:rPr>
          <w:rFonts w:eastAsia="Verdana"/>
          <w:noProof/>
        </w:rPr>
        <w:t xml:space="preserve">Poskytovatel </w:t>
      </w:r>
      <w:r w:rsidR="009945D6" w:rsidRPr="00362E19">
        <w:rPr>
          <w:rFonts w:eastAsia="Verdana"/>
          <w:noProof/>
        </w:rPr>
        <w:t xml:space="preserve">nebude požadovat poskytnutí zálohy a nebude požadovat v průběhu </w:t>
      </w:r>
      <w:r w:rsidR="003C5291">
        <w:rPr>
          <w:rFonts w:eastAsia="Verdana"/>
          <w:noProof/>
        </w:rPr>
        <w:t>poskytování služby</w:t>
      </w:r>
      <w:r w:rsidR="009945D6" w:rsidRPr="00362E19">
        <w:rPr>
          <w:rFonts w:eastAsia="Verdana"/>
          <w:noProof/>
        </w:rPr>
        <w:t xml:space="preserve"> část ceny.</w:t>
      </w:r>
    </w:p>
    <w:p w14:paraId="23A2FF24" w14:textId="77777777" w:rsidR="006062F9" w:rsidRPr="006062F9" w:rsidRDefault="006062F9" w:rsidP="00AA6E01">
      <w:pPr>
        <w:pStyle w:val="Nadpis1"/>
      </w:pPr>
      <w:r w:rsidRPr="006062F9">
        <w:t xml:space="preserve">Fakturace </w:t>
      </w:r>
    </w:p>
    <w:p w14:paraId="0993D276" w14:textId="039A4897" w:rsidR="00AA6E01" w:rsidRPr="00265C13" w:rsidRDefault="00AA6E01">
      <w:pPr>
        <w:pStyle w:val="Nadpis2"/>
        <w:rPr>
          <w:rFonts w:eastAsia="Verdana"/>
          <w:noProof/>
        </w:rPr>
      </w:pPr>
      <w:r w:rsidRPr="00265C13">
        <w:rPr>
          <w:rFonts w:eastAsia="Verdana"/>
          <w:noProof/>
        </w:rPr>
        <w:t xml:space="preserve">Fakturace bude probíhat na základě </w:t>
      </w:r>
      <w:r w:rsidR="003C5291" w:rsidRPr="00265C13">
        <w:rPr>
          <w:rFonts w:eastAsia="Verdana"/>
          <w:noProof/>
        </w:rPr>
        <w:t>poskytovatelem</w:t>
      </w:r>
      <w:r w:rsidRPr="00265C13">
        <w:rPr>
          <w:rFonts w:eastAsia="Verdana"/>
          <w:noProof/>
        </w:rPr>
        <w:t xml:space="preserve"> </w:t>
      </w:r>
      <w:r w:rsidR="00265C13" w:rsidRPr="00265C13">
        <w:rPr>
          <w:rFonts w:eastAsia="Verdana"/>
          <w:noProof/>
        </w:rPr>
        <w:t xml:space="preserve">vystavených měsíčních </w:t>
      </w:r>
      <w:r w:rsidRPr="00265C13">
        <w:rPr>
          <w:rFonts w:eastAsia="Verdana"/>
          <w:noProof/>
        </w:rPr>
        <w:t>daňov</w:t>
      </w:r>
      <w:r w:rsidR="00265C13" w:rsidRPr="00265C13">
        <w:rPr>
          <w:rFonts w:eastAsia="Verdana"/>
          <w:noProof/>
        </w:rPr>
        <w:t>ých</w:t>
      </w:r>
      <w:r w:rsidRPr="00265C13">
        <w:rPr>
          <w:rFonts w:eastAsia="Verdana"/>
          <w:noProof/>
        </w:rPr>
        <w:t xml:space="preserve"> </w:t>
      </w:r>
      <w:r w:rsidR="00265C13" w:rsidRPr="00265C13">
        <w:rPr>
          <w:rFonts w:eastAsia="Verdana"/>
          <w:noProof/>
        </w:rPr>
        <w:t xml:space="preserve">dokladů </w:t>
      </w:r>
      <w:r w:rsidRPr="00265C13">
        <w:rPr>
          <w:rFonts w:eastAsia="Verdana"/>
          <w:noProof/>
        </w:rPr>
        <w:t xml:space="preserve">(faktura s náležitostí daňového dokladu), </w:t>
      </w:r>
      <w:r w:rsidR="00265C13" w:rsidRPr="00265C13">
        <w:rPr>
          <w:rFonts w:eastAsia="Verdana"/>
          <w:noProof/>
        </w:rPr>
        <w:t xml:space="preserve">které </w:t>
      </w:r>
      <w:r w:rsidRPr="00265C13">
        <w:rPr>
          <w:rFonts w:eastAsia="Verdana"/>
          <w:noProof/>
        </w:rPr>
        <w:t>bude vyst</w:t>
      </w:r>
      <w:r w:rsidR="003C5291" w:rsidRPr="00265C13">
        <w:rPr>
          <w:rFonts w:eastAsia="Verdana"/>
          <w:noProof/>
        </w:rPr>
        <w:t>aven</w:t>
      </w:r>
      <w:r w:rsidR="00265C13" w:rsidRPr="00265C13">
        <w:rPr>
          <w:rFonts w:eastAsia="Verdana"/>
          <w:noProof/>
        </w:rPr>
        <w:t>y</w:t>
      </w:r>
      <w:r w:rsidR="003C5291" w:rsidRPr="00265C13">
        <w:rPr>
          <w:rFonts w:eastAsia="Verdana"/>
          <w:noProof/>
        </w:rPr>
        <w:t xml:space="preserve"> </w:t>
      </w:r>
      <w:r w:rsidR="00265C13" w:rsidRPr="00265C13">
        <w:rPr>
          <w:rFonts w:eastAsia="Verdana"/>
          <w:noProof/>
        </w:rPr>
        <w:t>na základě skutečního poskytnutých služeb dle této smlouvy v daném měsíci.</w:t>
      </w:r>
      <w:r w:rsidRPr="00265C13">
        <w:rPr>
          <w:rFonts w:eastAsia="Verdana"/>
          <w:noProof/>
        </w:rPr>
        <w:t xml:space="preserve"> Faktur</w:t>
      </w:r>
      <w:r w:rsidR="00265C13" w:rsidRPr="00265C13">
        <w:rPr>
          <w:rFonts w:eastAsia="Verdana"/>
          <w:noProof/>
        </w:rPr>
        <w:t>y</w:t>
      </w:r>
      <w:r w:rsidRPr="00265C13">
        <w:rPr>
          <w:rFonts w:eastAsia="Verdana"/>
          <w:noProof/>
        </w:rPr>
        <w:t xml:space="preserve"> bud</w:t>
      </w:r>
      <w:r w:rsidR="00265C13" w:rsidRPr="00265C13">
        <w:rPr>
          <w:rFonts w:eastAsia="Verdana"/>
          <w:noProof/>
        </w:rPr>
        <w:t>ou</w:t>
      </w:r>
      <w:r w:rsidRPr="00265C13">
        <w:rPr>
          <w:rFonts w:eastAsia="Verdana"/>
          <w:noProof/>
        </w:rPr>
        <w:t xml:space="preserve"> </w:t>
      </w:r>
      <w:r w:rsidR="00265C13" w:rsidRPr="00265C13">
        <w:rPr>
          <w:rFonts w:eastAsia="Verdana"/>
          <w:noProof/>
        </w:rPr>
        <w:t xml:space="preserve">vystaveny </w:t>
      </w:r>
      <w:r w:rsidRPr="00265C13">
        <w:rPr>
          <w:rFonts w:eastAsia="Verdana"/>
          <w:noProof/>
        </w:rPr>
        <w:t xml:space="preserve">do 15 dní od </w:t>
      </w:r>
      <w:r w:rsidR="00265C13" w:rsidRPr="00265C13">
        <w:rPr>
          <w:rFonts w:eastAsia="Verdana"/>
          <w:noProof/>
        </w:rPr>
        <w:t>skončení fakturovaného měsíce</w:t>
      </w:r>
      <w:r w:rsidRPr="00265C13">
        <w:rPr>
          <w:rFonts w:eastAsia="Verdana"/>
          <w:noProof/>
        </w:rPr>
        <w:t xml:space="preserve"> a doručena na fakturační adresu objednatele. Součástí faktury bude příloha soupisu </w:t>
      </w:r>
      <w:r w:rsidR="003C5291" w:rsidRPr="00B6563F">
        <w:rPr>
          <w:rFonts w:eastAsia="Verdana"/>
          <w:noProof/>
        </w:rPr>
        <w:t>poskytnutých služeb</w:t>
      </w:r>
      <w:r w:rsidRPr="00B6563F">
        <w:rPr>
          <w:rFonts w:eastAsia="Verdana"/>
          <w:noProof/>
        </w:rPr>
        <w:t>.</w:t>
      </w:r>
      <w:r w:rsidRPr="00927135">
        <w:rPr>
          <w:rFonts w:eastAsia="Verdana"/>
          <w:noProof/>
        </w:rPr>
        <w:t xml:space="preserve"> </w:t>
      </w:r>
    </w:p>
    <w:p w14:paraId="1AFBED57"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Místo a doba plnění</w:t>
      </w:r>
    </w:p>
    <w:p w14:paraId="4DCCF507" w14:textId="272DC640" w:rsidR="004E1498" w:rsidRPr="006062F9" w:rsidRDefault="004E1498" w:rsidP="00321172">
      <w:pPr>
        <w:pStyle w:val="Nadpis2"/>
        <w:widowControl w:val="0"/>
      </w:pPr>
      <w:r w:rsidRPr="006062F9">
        <w:t xml:space="preserve">Místem plnění </w:t>
      </w:r>
      <w:r w:rsidR="00265C13">
        <w:t>jsou</w:t>
      </w:r>
      <w:r w:rsidR="00265C13" w:rsidRPr="006062F9">
        <w:t xml:space="preserve"> </w:t>
      </w:r>
      <w:r w:rsidR="00265C13">
        <w:t>uvedená v Příloze č. 2</w:t>
      </w:r>
      <w:r w:rsidR="00927135">
        <w:t xml:space="preserve"> této Smlouvy.</w:t>
      </w:r>
    </w:p>
    <w:p w14:paraId="507B390E" w14:textId="43308A18" w:rsidR="00B75DAD" w:rsidRPr="00B75DAD" w:rsidRDefault="00E73DA0" w:rsidP="00B6563F">
      <w:pPr>
        <w:ind w:left="567"/>
        <w:rPr>
          <w:rFonts w:ascii="Verdana" w:eastAsia="Verdana" w:hAnsi="Verdana" w:cs="Times New Roman"/>
          <w:noProof/>
        </w:rPr>
      </w:pPr>
      <w:r w:rsidRPr="006062F9">
        <w:t>Poskytovatel je povinen provádět</w:t>
      </w:r>
      <w:r w:rsidR="004E1498" w:rsidRPr="006062F9">
        <w:t xml:space="preserve"> </w:t>
      </w:r>
      <w:r w:rsidRPr="006062F9">
        <w:t>Předmět služeb</w:t>
      </w:r>
      <w:r w:rsidR="00927135">
        <w:t xml:space="preserve"> od 01.11.2023</w:t>
      </w:r>
      <w:r w:rsidR="004E1498" w:rsidRPr="006062F9">
        <w:t xml:space="preserve"> do </w:t>
      </w:r>
      <w:r w:rsidR="00927135">
        <w:t>31.10.2027</w:t>
      </w:r>
      <w:r w:rsidR="006062F9" w:rsidRPr="006062F9">
        <w:t>.</w:t>
      </w:r>
    </w:p>
    <w:p w14:paraId="700C0934"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Poddodavatelé</w:t>
      </w:r>
    </w:p>
    <w:p w14:paraId="1F8D502E" w14:textId="691DC5FD"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 xml:space="preserve">dodavatelé uvedení v příloze </w:t>
      </w:r>
      <w:r w:rsidR="00927135">
        <w:t>č. 3</w:t>
      </w:r>
      <w:r>
        <w:t xml:space="preserve"> této S</w:t>
      </w:r>
      <w:r w:rsidRPr="004E1498">
        <w:t xml:space="preserve">mlouvy. </w:t>
      </w:r>
    </w:p>
    <w:p w14:paraId="0E052144" w14:textId="38729AA1" w:rsidR="00B66E16" w:rsidRPr="00B66E16" w:rsidRDefault="00B66E16" w:rsidP="00B6563F">
      <w:pPr>
        <w:widowControl w:val="0"/>
        <w:spacing w:after="0" w:line="240" w:lineRule="auto"/>
        <w:ind w:left="567"/>
        <w:contextualSpacing/>
        <w:jc w:val="both"/>
        <w:rPr>
          <w:highlight w:val="yellow"/>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w:t>
      </w:r>
      <w:r w:rsidR="00B111D1">
        <w:rPr>
          <w:rFonts w:eastAsia="Times New Roman" w:cs="Times New Roman"/>
          <w:highlight w:val="yellow"/>
          <w:lang w:eastAsia="cs-CZ"/>
        </w:rPr>
        <w:t xml:space="preserve">poskytovatel </w:t>
      </w:r>
      <w:r>
        <w:rPr>
          <w:rFonts w:eastAsia="Times New Roman" w:cs="Times New Roman"/>
          <w:highlight w:val="yellow"/>
          <w:lang w:eastAsia="cs-CZ"/>
        </w:rPr>
        <w:t xml:space="preserve">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1F816C5"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1E88B812" w:rsidR="004E1498" w:rsidRPr="008B24C9" w:rsidRDefault="004E1498" w:rsidP="00321172">
      <w:pPr>
        <w:pStyle w:val="Nadpis2"/>
        <w:widowControl w:val="0"/>
      </w:pPr>
      <w:r w:rsidRPr="008B24C9">
        <w:t>Kontaktními osobami smluvních stran jsou</w:t>
      </w:r>
      <w:r w:rsidR="00B111D1">
        <w:t>:</w:t>
      </w:r>
    </w:p>
    <w:p w14:paraId="613F275C" w14:textId="3EE2F18F" w:rsidR="0002055A" w:rsidRDefault="0002055A" w:rsidP="00B6563F">
      <w:pPr>
        <w:pStyle w:val="Nadpis3"/>
        <w:widowControl w:val="0"/>
      </w:pPr>
      <w:r w:rsidRPr="00BF145E">
        <w:t>za Objednatele</w:t>
      </w:r>
      <w:r w:rsidRPr="00BF145E">
        <w:tab/>
        <w:t>Jan Figar – vedoucí provozního střediska STDŘ (tel.</w:t>
      </w:r>
      <w:r>
        <w:t> </w:t>
      </w:r>
      <w:r w:rsidRPr="00BF145E">
        <w:t>725 362 496),</w:t>
      </w:r>
    </w:p>
    <w:p w14:paraId="4ED5DD2C" w14:textId="2359CA4D" w:rsidR="0002055A" w:rsidRDefault="0002055A" w:rsidP="0002055A">
      <w:pPr>
        <w:tabs>
          <w:tab w:val="left" w:pos="2268"/>
        </w:tabs>
        <w:spacing w:after="120"/>
      </w:pPr>
      <w:r>
        <w:tab/>
      </w:r>
      <w:r>
        <w:tab/>
        <w:t>p. Lukáš Voldřich – zástupce přednosty SEE (tel. 607 050 781)</w:t>
      </w:r>
    </w:p>
    <w:p w14:paraId="7D92B846" w14:textId="77777777" w:rsidR="0002055A" w:rsidRPr="00BF145E" w:rsidRDefault="0002055A" w:rsidP="00B111D1">
      <w:pPr>
        <w:tabs>
          <w:tab w:val="left" w:pos="2268"/>
        </w:tabs>
        <w:spacing w:after="0"/>
        <w:rPr>
          <w:b/>
          <w:bCs/>
        </w:rPr>
      </w:pPr>
      <w:r w:rsidRPr="00BF145E">
        <w:rPr>
          <w:b/>
          <w:bCs/>
        </w:rPr>
        <w:t>Technický dozor</w:t>
      </w:r>
    </w:p>
    <w:p w14:paraId="00B446BA" w14:textId="77777777" w:rsidR="0002055A" w:rsidRPr="00BF145E" w:rsidRDefault="0002055A" w:rsidP="00B6563F">
      <w:pPr>
        <w:tabs>
          <w:tab w:val="left" w:pos="2268"/>
        </w:tabs>
        <w:spacing w:after="0"/>
        <w:rPr>
          <w:b/>
          <w:bCs/>
          <w:i/>
          <w:iCs/>
        </w:rPr>
      </w:pPr>
      <w:r w:rsidRPr="00BF145E">
        <w:rPr>
          <w:b/>
          <w:bCs/>
          <w:i/>
          <w:iCs/>
        </w:rPr>
        <w:t>Objekty u Správy elektrotechniky a energeticky:</w:t>
      </w:r>
    </w:p>
    <w:p w14:paraId="1F09F343" w14:textId="77777777" w:rsidR="0002055A" w:rsidRDefault="0002055A" w:rsidP="000F4910">
      <w:pPr>
        <w:tabs>
          <w:tab w:val="left" w:pos="2268"/>
        </w:tabs>
        <w:spacing w:after="120"/>
      </w:pPr>
      <w:r>
        <w:tab/>
        <w:t>p. Jan Figar – vedoucí provozního střediska STDŘ (tel. 725 362 496)</w:t>
      </w:r>
    </w:p>
    <w:p w14:paraId="5BC612D4" w14:textId="77777777" w:rsidR="0002055A" w:rsidRPr="00BF145E" w:rsidRDefault="0002055A" w:rsidP="00B111D1">
      <w:pPr>
        <w:tabs>
          <w:tab w:val="left" w:pos="2268"/>
        </w:tabs>
        <w:spacing w:after="0"/>
        <w:rPr>
          <w:b/>
          <w:bCs/>
          <w:i/>
          <w:iCs/>
        </w:rPr>
      </w:pPr>
      <w:r w:rsidRPr="00BF145E">
        <w:rPr>
          <w:b/>
          <w:bCs/>
          <w:i/>
          <w:iCs/>
        </w:rPr>
        <w:t>Objekty u Správy tratí Praha západ:</w:t>
      </w:r>
    </w:p>
    <w:p w14:paraId="58CD2AEA" w14:textId="77777777" w:rsidR="0002055A" w:rsidRDefault="0002055A" w:rsidP="000F4910">
      <w:pPr>
        <w:tabs>
          <w:tab w:val="left" w:pos="2268"/>
        </w:tabs>
        <w:spacing w:after="120"/>
      </w:pPr>
      <w:r>
        <w:tab/>
        <w:t>p. Jan Nosek – systémový specialista (tel. 601 550 588)</w:t>
      </w:r>
    </w:p>
    <w:p w14:paraId="51F437B6" w14:textId="77777777" w:rsidR="0002055A" w:rsidRPr="00BF145E" w:rsidRDefault="0002055A" w:rsidP="00B111D1">
      <w:pPr>
        <w:tabs>
          <w:tab w:val="left" w:pos="2268"/>
        </w:tabs>
        <w:spacing w:after="0"/>
        <w:rPr>
          <w:b/>
          <w:bCs/>
          <w:i/>
          <w:iCs/>
        </w:rPr>
      </w:pPr>
      <w:r w:rsidRPr="00BF145E">
        <w:rPr>
          <w:b/>
          <w:bCs/>
          <w:i/>
          <w:iCs/>
        </w:rPr>
        <w:t>Objekty u Správy tratí Praha východ:</w:t>
      </w:r>
    </w:p>
    <w:p w14:paraId="210A1FC1" w14:textId="70B57C47" w:rsidR="0002055A" w:rsidRDefault="0002055A" w:rsidP="000F4910">
      <w:pPr>
        <w:tabs>
          <w:tab w:val="left" w:pos="2268"/>
        </w:tabs>
        <w:spacing w:after="120"/>
        <w:ind w:left="2268" w:hanging="1701"/>
      </w:pPr>
      <w:r>
        <w:tab/>
        <w:t>p. Bohumil Zimola – přednosta správy tratí Praha východ (tel. 606 419</w:t>
      </w:r>
      <w:r w:rsidR="00151710">
        <w:t> </w:t>
      </w:r>
      <w:r>
        <w:t>951)</w:t>
      </w:r>
    </w:p>
    <w:p w14:paraId="7D6DA940" w14:textId="77777777" w:rsidR="00151710" w:rsidRDefault="00151710" w:rsidP="000F4910">
      <w:pPr>
        <w:tabs>
          <w:tab w:val="left" w:pos="2268"/>
        </w:tabs>
        <w:spacing w:after="120"/>
        <w:ind w:left="2268" w:hanging="1701"/>
      </w:pPr>
    </w:p>
    <w:p w14:paraId="1C70F267" w14:textId="77777777" w:rsidR="0002055A" w:rsidRPr="00BF145E" w:rsidRDefault="0002055A" w:rsidP="00B111D1">
      <w:pPr>
        <w:tabs>
          <w:tab w:val="left" w:pos="2268"/>
        </w:tabs>
        <w:spacing w:after="0"/>
        <w:rPr>
          <w:b/>
          <w:bCs/>
          <w:i/>
          <w:iCs/>
        </w:rPr>
      </w:pPr>
      <w:r w:rsidRPr="00BF145E">
        <w:rPr>
          <w:b/>
          <w:bCs/>
          <w:i/>
          <w:iCs/>
        </w:rPr>
        <w:lastRenderedPageBreak/>
        <w:t>Objekty u Odboru energetiky a služeb:</w:t>
      </w:r>
    </w:p>
    <w:p w14:paraId="6772375C" w14:textId="32409342" w:rsidR="0002055A" w:rsidRDefault="0002055A" w:rsidP="000F4910">
      <w:pPr>
        <w:tabs>
          <w:tab w:val="left" w:pos="2268"/>
        </w:tabs>
        <w:spacing w:after="120"/>
        <w:ind w:left="2268" w:hanging="1701"/>
      </w:pPr>
      <w:r>
        <w:tab/>
        <w:t>p. Miroslav Chalupecký – vedoucí odboru energetiky a služeb (tel. 702 194 293)</w:t>
      </w:r>
    </w:p>
    <w:p w14:paraId="23C2BB56" w14:textId="77777777" w:rsidR="0002055A" w:rsidRPr="00BF145E" w:rsidRDefault="0002055A" w:rsidP="00B6563F">
      <w:pPr>
        <w:tabs>
          <w:tab w:val="left" w:pos="2268"/>
        </w:tabs>
        <w:spacing w:after="0"/>
        <w:ind w:left="2268" w:hanging="2268"/>
        <w:rPr>
          <w:b/>
          <w:bCs/>
          <w:i/>
          <w:iCs/>
        </w:rPr>
      </w:pPr>
      <w:r w:rsidRPr="00BF145E">
        <w:rPr>
          <w:b/>
          <w:bCs/>
          <w:i/>
          <w:iCs/>
        </w:rPr>
        <w:t>Objekty u Správy sdělovací a zabezpečovací techniky Praha západ:</w:t>
      </w:r>
    </w:p>
    <w:p w14:paraId="00998FD6" w14:textId="77777777" w:rsidR="0002055A" w:rsidRDefault="0002055A" w:rsidP="000F4910">
      <w:pPr>
        <w:tabs>
          <w:tab w:val="left" w:pos="2268"/>
        </w:tabs>
        <w:spacing w:after="120"/>
        <w:ind w:left="2268" w:hanging="1701"/>
      </w:pPr>
      <w:r>
        <w:tab/>
        <w:t>p. Milan Bělehrad – vedoucí technického oddělení (tel. 606 622 787)</w:t>
      </w:r>
    </w:p>
    <w:p w14:paraId="1E2FC40F" w14:textId="77777777" w:rsidR="0002055A" w:rsidRPr="00BF145E" w:rsidRDefault="0002055A" w:rsidP="00B6563F">
      <w:pPr>
        <w:tabs>
          <w:tab w:val="left" w:pos="2268"/>
        </w:tabs>
        <w:spacing w:after="0"/>
        <w:ind w:left="2268" w:hanging="2268"/>
        <w:rPr>
          <w:b/>
          <w:bCs/>
          <w:i/>
          <w:iCs/>
        </w:rPr>
      </w:pPr>
      <w:r w:rsidRPr="00BF145E">
        <w:rPr>
          <w:b/>
          <w:bCs/>
          <w:i/>
          <w:iCs/>
        </w:rPr>
        <w:t>Objekty u správy sdělovací a zabezpečovací techniky Praha východ:</w:t>
      </w:r>
    </w:p>
    <w:p w14:paraId="29813996" w14:textId="77777777" w:rsidR="0002055A" w:rsidRPr="00321172" w:rsidRDefault="0002055A" w:rsidP="000F4910">
      <w:pPr>
        <w:tabs>
          <w:tab w:val="left" w:pos="2268"/>
        </w:tabs>
        <w:spacing w:after="120"/>
        <w:ind w:left="2268" w:hanging="1701"/>
      </w:pPr>
      <w:r>
        <w:tab/>
        <w:t>Ing. Zdeněk Rydlo – vedoucí oddělení odborné správy (tel. 602 519 678)</w:t>
      </w:r>
    </w:p>
    <w:p w14:paraId="1C513CD4" w14:textId="64DB2BF4" w:rsidR="004E1498" w:rsidRPr="00B6563F" w:rsidRDefault="004E1498" w:rsidP="00321172">
      <w:pPr>
        <w:pStyle w:val="Nadpis3"/>
        <w:widowControl w:val="0"/>
        <w:rPr>
          <w:rFonts w:ascii="Verdana" w:hAnsi="Verdana"/>
          <w:highlight w:val="yellow"/>
        </w:rPr>
      </w:pPr>
      <w:r w:rsidRPr="00B6563F">
        <w:rPr>
          <w:highlight w:val="yellow"/>
        </w:rPr>
        <w:t xml:space="preserve">za </w:t>
      </w:r>
      <w:r w:rsidR="00E73DA0" w:rsidRPr="00B6563F">
        <w:rPr>
          <w:highlight w:val="yellow"/>
        </w:rPr>
        <w:t>Poskytovatel</w:t>
      </w:r>
      <w:r w:rsidRPr="00B6563F">
        <w:rPr>
          <w:highlight w:val="yellow"/>
        </w:rPr>
        <w:t xml:space="preserve">e </w:t>
      </w:r>
      <w:r w:rsidR="0002055A" w:rsidRPr="00B6563F">
        <w:rPr>
          <w:highlight w:val="yellow"/>
        </w:rPr>
        <w:tab/>
      </w:r>
      <w:r w:rsidR="008B24C9" w:rsidRPr="00B6563F">
        <w:rPr>
          <w:rFonts w:ascii="Verdana" w:hAnsi="Verdana"/>
          <w:highlight w:val="yellow"/>
        </w:rPr>
        <w:t>[DOPLNÍ POSKYTOVATEL].</w:t>
      </w:r>
    </w:p>
    <w:p w14:paraId="7715F722" w14:textId="77777777" w:rsidR="00974FD8" w:rsidRPr="00151710" w:rsidRDefault="00974FD8">
      <w:pPr>
        <w:pStyle w:val="Nadpis2"/>
      </w:pPr>
      <w:proofErr w:type="spellStart"/>
      <w:r w:rsidRPr="00151710">
        <w:t>Compliance</w:t>
      </w:r>
      <w:proofErr w:type="spellEnd"/>
      <w:r w:rsidRPr="00151710">
        <w:t xml:space="preserve"> doložka a etické zásady </w:t>
      </w:r>
    </w:p>
    <w:p w14:paraId="0B0D5217" w14:textId="2E180E98" w:rsidR="00974FD8" w:rsidRPr="00B111D1" w:rsidRDefault="00974FD8" w:rsidP="00B6563F">
      <w:pPr>
        <w:pStyle w:val="Nadpis2"/>
        <w:numPr>
          <w:ilvl w:val="0"/>
          <w:numId w:val="0"/>
        </w:numPr>
        <w:ind w:left="578"/>
        <w:rPr>
          <w:rStyle w:val="Hypertextovodkaz"/>
        </w:rPr>
      </w:pPr>
      <w:r w:rsidRPr="00B656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111D1">
        <w:t>compliance</w:t>
      </w:r>
      <w:proofErr w:type="spellEnd"/>
      <w:r w:rsidRPr="00B111D1">
        <w:t xml:space="preserve"> programů a etických hodnot druhé smluvní strany, pakliže </w:t>
      </w:r>
      <w:r w:rsidRPr="00B6563F">
        <w:t>těmito dokumenty dotčené smluvní strany disponují, a jsou uveřejněny na webových</w:t>
      </w:r>
      <w:r w:rsidRPr="00B111D1">
        <w:t xml:space="preserve"> stránkách smluvních stran (společností). Správa železnic, státní organizace, má výše uvedené dokumenty k dispozici na webových stránkách: </w:t>
      </w:r>
      <w:hyperlink r:id="rId11" w:history="1">
        <w:r w:rsidRPr="00B111D1">
          <w:rPr>
            <w:rStyle w:val="Hypertextovodkaz"/>
          </w:rPr>
          <w:t>https://www.spravazeleznic.cz/o-nas/nazadouci-jednani-a-boj-s-korupci</w:t>
        </w:r>
      </w:hyperlink>
    </w:p>
    <w:p w14:paraId="457A0245" w14:textId="77777777" w:rsidR="00974FD8" w:rsidRPr="00974FD8" w:rsidRDefault="00974FD8">
      <w:pPr>
        <w:pStyle w:val="Nadpis2"/>
      </w:pPr>
      <w:r w:rsidRPr="00974FD8">
        <w:t>Zásady při nakládání s podezřelými předměty</w:t>
      </w:r>
    </w:p>
    <w:p w14:paraId="6BF4A0F4" w14:textId="47322487" w:rsidR="00974FD8" w:rsidRDefault="00974FD8" w:rsidP="00B6563F">
      <w:pPr>
        <w:pStyle w:val="Nadpis2"/>
        <w:numPr>
          <w:ilvl w:val="0"/>
          <w:numId w:val="0"/>
        </w:numPr>
        <w:ind w:left="576"/>
      </w:pPr>
      <w:r>
        <w:t xml:space="preserve">Poskytovatel </w:t>
      </w:r>
      <w:r w:rsidRPr="00974FD8">
        <w:t xml:space="preserve">se zavazuje seznámit osoby podílející se plnění Díla s ustanoveními vnitřního předpisu Objednatele Směrnice SŽDC č. 98 Zásady při nakládání s podezřelými předměty, </w:t>
      </w:r>
      <w:r w:rsidRPr="000F4910">
        <w:t>zajistit zpracování postupu osob podílejících se</w:t>
      </w:r>
      <w:r w:rsidR="00DE20D8" w:rsidRPr="000F4910">
        <w:t xml:space="preserve"> na</w:t>
      </w:r>
      <w:r w:rsidRPr="00DE20D8">
        <w:t xml:space="preserve"> </w:t>
      </w:r>
      <w:r w:rsidRPr="00B6563F">
        <w:t>poskytování služeb</w:t>
      </w:r>
      <w:r w:rsidRPr="00974FD8">
        <w:t xml:space="preserve"> při aplikaci této Směrnice, dále zajistit průběžnou kontrolu aktuálnosti těchto postupů ve spolupráci s příslušným zaměstnancem Objednatele.</w:t>
      </w:r>
    </w:p>
    <w:p w14:paraId="443A92A4" w14:textId="5AE85392" w:rsidR="00974FD8" w:rsidRPr="00974FD8" w:rsidRDefault="00974FD8" w:rsidP="00974FD8">
      <w:pPr>
        <w:pStyle w:val="Nadpis2"/>
      </w:pPr>
      <w:r>
        <w:t>Poskytovatel</w:t>
      </w:r>
      <w:r w:rsidRPr="00214C3E">
        <w:t xml:space="preserve"> se zavazuje přijmout vhodná technická a organizační opatření podle nařízení Evropského parlamentu a Rady (EU) 2016/679 ze dne 27.</w:t>
      </w:r>
      <w:r>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39753B3" w14:textId="77777777" w:rsidR="004E1498" w:rsidRPr="006062F9" w:rsidRDefault="004E1498" w:rsidP="00321172">
      <w:pPr>
        <w:pStyle w:val="Nadpis2"/>
        <w:widowControl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321172">
      <w:pPr>
        <w:pStyle w:val="Nadpis2"/>
        <w:widowControl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w:t>
      </w:r>
      <w:r w:rsidRPr="006062F9">
        <w:rPr>
          <w:rFonts w:eastAsia="Calibri"/>
        </w:rPr>
        <w:lastRenderedPageBreak/>
        <w:t>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321172">
      <w:pPr>
        <w:pStyle w:val="Nadpis2"/>
        <w:widowControl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69B036AB" w:rsidR="004E1498"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20E87637" w14:textId="77777777" w:rsidR="00974FD8" w:rsidRDefault="00974FD8" w:rsidP="00974FD8">
      <w:pPr>
        <w:pStyle w:val="Nadpis1"/>
        <w:rPr>
          <w:rFonts w:eastAsia="Verdana"/>
          <w:noProof/>
        </w:rPr>
      </w:pPr>
      <w:r w:rsidRPr="00AC3138">
        <w:rPr>
          <w:rFonts w:eastAsia="Verdana"/>
          <w:noProof/>
        </w:rPr>
        <w:t>Odpovědné zadávání</w:t>
      </w:r>
    </w:p>
    <w:p w14:paraId="110BE124" w14:textId="063E6453" w:rsidR="00974FD8" w:rsidRPr="00AC3138" w:rsidRDefault="00974FD8" w:rsidP="00974FD8">
      <w:pPr>
        <w:pStyle w:val="Nadpis2"/>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974FD8">
      <w:pPr>
        <w:pStyle w:val="Nadpis2"/>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B6563F">
      <w:pPr>
        <w:pStyle w:val="Nadpis3"/>
        <w:ind w:left="709" w:hanging="709"/>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08D74B4E" w14:textId="24A3A457" w:rsidR="00974FD8" w:rsidRPr="00AC3138" w:rsidRDefault="00D24836" w:rsidP="00B6563F">
      <w:pPr>
        <w:pStyle w:val="Nadpis3"/>
        <w:ind w:left="709" w:hanging="709"/>
      </w:pPr>
      <w:r>
        <w:t>Poskytovatel</w:t>
      </w:r>
      <w:r w:rsidR="00974FD8" w:rsidRPr="00AC3138">
        <w:t xml:space="preserve"> se zavazuje uhradit smluvní pokutu ve výši </w:t>
      </w:r>
      <w:proofErr w:type="gramStart"/>
      <w:r w:rsidR="00974FD8" w:rsidRPr="00AC3138">
        <w:t>10.000</w:t>
      </w:r>
      <w:r w:rsidR="00974FD8">
        <w:t>,-</w:t>
      </w:r>
      <w:proofErr w:type="gramEnd"/>
      <w:r w:rsidR="00974FD8" w:rsidRPr="00AC3138">
        <w:t xml:space="preserve"> Kč za každý byť i započatý den prodlení se splněním povinnosti předložit smluvní dokumentaci dle předchozího odstavce smlouvy. </w:t>
      </w:r>
      <w:r>
        <w:t>Poskytovatel</w:t>
      </w:r>
      <w:r w:rsidR="00974FD8" w:rsidRPr="00AC3138">
        <w:t xml:space="preserve"> se dále zavazuje uhradit smluvní pokutu ve výši </w:t>
      </w:r>
      <w:proofErr w:type="gramStart"/>
      <w:r w:rsidR="00974FD8" w:rsidRPr="00AC3138">
        <w:t>10.000</w:t>
      </w:r>
      <w:r w:rsidR="00974FD8">
        <w:t>,-</w:t>
      </w:r>
      <w:proofErr w:type="gramEnd"/>
      <w:r w:rsidR="00974FD8" w:rsidRPr="00AC3138">
        <w:t xml:space="preserve"> Kč za každý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5081ED0A" w14:textId="662409B5" w:rsidR="00DE20D8" w:rsidRPr="00B111D1" w:rsidRDefault="00DE20D8" w:rsidP="00B6563F">
      <w:pPr>
        <w:pStyle w:val="Nadpis2"/>
        <w:rPr>
          <w:rFonts w:ascii="Verdana" w:hAnsi="Verdana"/>
          <w:sz w:val="20"/>
          <w:szCs w:val="20"/>
        </w:rPr>
      </w:pPr>
      <w:r w:rsidRPr="00B6563F">
        <w:rPr>
          <w:rFonts w:ascii="Verdana" w:eastAsia="Verdana" w:hAnsi="Verdana"/>
          <w:noProof/>
        </w:rPr>
        <w:t>Objednatel požaduje, aby Poskytovatel při poskytování služeb pro Objednatele zajistil důstojné pracovní podmínky a bezpečnost práce a to následovně:</w:t>
      </w:r>
    </w:p>
    <w:p w14:paraId="236F808F" w14:textId="42103981" w:rsidR="00DE20D8" w:rsidRPr="00B6563F" w:rsidRDefault="00DE20D8" w:rsidP="00B6563F">
      <w:pPr>
        <w:pStyle w:val="Nadpis3"/>
        <w:ind w:left="709" w:hanging="709"/>
      </w:pPr>
      <w:r w:rsidRPr="00B6563F">
        <w:t>Poskytovatel se zavazuje, že žádná fyzická osoba, která se bude podílet na výkonu služeb, které jsou předmětem této smlouvy, nepřekročí maximální možnou pracovní dobu, resp. dobu pro práci přesčas podle Zákoníku práce. Doba odpočinku těchto osob bude stanovena, příp. zkrácena v souladu se Zákoníkem práce. Poskytovatel se zavazuje, že po celou dobu plnění neklesne mzda žádné fyzické osoby, která se bude podílet na výkonu služeb, které jsou předmětem této smlouvy, pod hranici stanovenou právním řádem ČR, zejm. dle nařízení vlády č. 567/2006 Sb., o minimální mzdě, o nejnižších úrovních zaručené mzdy, o vymezení ztíženého pracovního prostředí a o výši příplatku ke mzdě za práci ve ztíženém pracovním prostředí. Objednatel je oprávněn kontrolovat splnění tohoto požadavku, k tomu poskytne Poskytovatel nezbytnou součinnost.</w:t>
      </w:r>
    </w:p>
    <w:p w14:paraId="6A19BBFB" w14:textId="1D91AE3E" w:rsidR="00974FD8" w:rsidRPr="00974FD8" w:rsidRDefault="00DE20D8" w:rsidP="00B6563F">
      <w:pPr>
        <w:pStyle w:val="Nadpis3"/>
        <w:ind w:left="709" w:hanging="709"/>
      </w:pPr>
      <w:r w:rsidRPr="00B6563F">
        <w:t xml:space="preserve">Pokud Poskytovatel poruší povinnost v rámci odměňování členů odborného personálu, zavazuje se Poskytovatel uhradit Objednateli smluvní pokutu ve výši </w:t>
      </w:r>
      <w:r w:rsidRPr="00B6563F">
        <w:rPr>
          <w:b/>
          <w:bCs/>
        </w:rPr>
        <w:t>25 000,- Kč</w:t>
      </w:r>
      <w:r w:rsidRPr="00B6563F">
        <w:t xml:space="preserve"> za každého člena personálu, vůči němuž nebyla v daném měsíci povinnost dodržena.</w:t>
      </w:r>
    </w:p>
    <w:p w14:paraId="68A3E26C" w14:textId="0C8D9C34" w:rsidR="00B75DAD" w:rsidRDefault="00B75DAD" w:rsidP="00B75DAD">
      <w:pPr>
        <w:pStyle w:val="Nadpis1"/>
        <w:rPr>
          <w:rFonts w:eastAsia="Verdana"/>
          <w:noProof/>
        </w:rPr>
      </w:pPr>
      <w:r>
        <w:rPr>
          <w:rFonts w:eastAsia="Verdana"/>
          <w:noProof/>
        </w:rPr>
        <w:lastRenderedPageBreak/>
        <w:t xml:space="preserve">Střet zájmů, povinnosti </w:t>
      </w:r>
      <w:r w:rsidR="00B111D1">
        <w:rPr>
          <w:rFonts w:eastAsia="Verdana"/>
          <w:noProof/>
        </w:rPr>
        <w:t xml:space="preserve">poskytovatele </w:t>
      </w:r>
      <w:r>
        <w:rPr>
          <w:rFonts w:eastAsia="Verdana"/>
          <w:noProof/>
        </w:rPr>
        <w:t>v souvislosti s mezinárodními sankcemi</w:t>
      </w:r>
    </w:p>
    <w:p w14:paraId="0AEDE541" w14:textId="2FAE3D53" w:rsidR="00B75DAD" w:rsidRPr="0029677D" w:rsidRDefault="00B75DAD" w:rsidP="00B6563F">
      <w:pPr>
        <w:pStyle w:val="Nadpis2"/>
        <w:ind w:left="576" w:hanging="576"/>
      </w:pPr>
      <w:r>
        <w:rPr>
          <w:rFonts w:eastAsia="Calibri"/>
        </w:rPr>
        <w:t xml:space="preserve">Poskytovatel </w:t>
      </w:r>
      <w:r w:rsidRPr="0073792E">
        <w:t>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5B833F3F" w14:textId="4A73691A" w:rsidR="00B75DAD" w:rsidRPr="0029677D" w:rsidRDefault="00B75DAD" w:rsidP="00B6563F">
      <w:pPr>
        <w:pStyle w:val="Nadpis2"/>
        <w:ind w:left="576" w:hanging="576"/>
      </w:pPr>
      <w:r>
        <w:rPr>
          <w:rFonts w:eastAsia="Calibri"/>
        </w:rPr>
        <w:t>Poskytovatel</w:t>
      </w:r>
      <w:r w:rsidRPr="0029677D">
        <w:t xml:space="preserve"> prohlašuje, že on, ani žádný z jeho poddodavatelů nebo jiných osob, jejichž způsobilost byla využita ve smyslu evropských směrnic o zadávání ve</w:t>
      </w:r>
      <w:r>
        <w:t xml:space="preserve">řejných zakázek, nejsou osobami, </w:t>
      </w:r>
      <w:r w:rsidRPr="009D567F">
        <w:t>na které se vztahuje zákaz zadání veřejné zakázky, pokud je to v rozporu s mezinárodními sankcemi podle zákona upravujícího provádění mezinárodních sankcí; právní úprava dle § 48a ZZVZ se použije analogicky.</w:t>
      </w:r>
    </w:p>
    <w:p w14:paraId="0439EE50" w14:textId="4893DD04" w:rsidR="00B75DAD" w:rsidRPr="0029677D" w:rsidRDefault="00B75DAD" w:rsidP="00B6563F">
      <w:pPr>
        <w:pStyle w:val="Nadpis2"/>
        <w:ind w:left="576" w:hanging="576"/>
      </w:pPr>
      <w:r w:rsidRPr="000F4910">
        <w:t xml:space="preserve">Je-li </w:t>
      </w:r>
      <w:r w:rsidRPr="000F4910">
        <w:rPr>
          <w:rFonts w:eastAsia="Calibri"/>
        </w:rPr>
        <w:t>Poskytovatelem</w:t>
      </w:r>
      <w:r w:rsidRPr="00DE20D8">
        <w:t xml:space="preserve"> sdružení více osob, platí podmínky dle odstavce </w:t>
      </w:r>
      <w:r w:rsidR="009438E4" w:rsidRPr="00B6563F">
        <w:t>9</w:t>
      </w:r>
      <w:r w:rsidRPr="00B6563F">
        <w:t>.1</w:t>
      </w:r>
      <w:r w:rsidRPr="000F4910">
        <w:t xml:space="preserve"> a </w:t>
      </w:r>
      <w:r w:rsidR="009438E4" w:rsidRPr="00B6563F">
        <w:t>9</w:t>
      </w:r>
      <w:r w:rsidRPr="00B6563F">
        <w:t>.2</w:t>
      </w:r>
      <w:r w:rsidRPr="000F4910">
        <w:t xml:space="preserve"> této</w:t>
      </w:r>
      <w:r w:rsidRPr="0029677D">
        <w:t xml:space="preserve"> Smlouvy také jednotlivě pro všechny osoby v rámci </w:t>
      </w:r>
      <w:r>
        <w:rPr>
          <w:rFonts w:eastAsia="Calibri"/>
        </w:rPr>
        <w:t>Poskytovatele</w:t>
      </w:r>
      <w:r w:rsidRPr="0029677D">
        <w:t xml:space="preserve"> </w:t>
      </w:r>
      <w:proofErr w:type="gramStart"/>
      <w:r w:rsidRPr="0029677D">
        <w:t>sdružené</w:t>
      </w:r>
      <w:proofErr w:type="gramEnd"/>
      <w:r w:rsidRPr="0029677D">
        <w:t xml:space="preserve"> a to bez ohledu na právní formu tohoto sdružení.</w:t>
      </w:r>
    </w:p>
    <w:p w14:paraId="442F1C08" w14:textId="6B92C2BC" w:rsidR="00B75DAD" w:rsidRPr="0029677D" w:rsidRDefault="00B75DAD" w:rsidP="00B6563F">
      <w:pPr>
        <w:pStyle w:val="Nadpis2"/>
        <w:ind w:left="576" w:hanging="576"/>
      </w:pPr>
      <w:r w:rsidRPr="0029677D">
        <w:t xml:space="preserve">Přestane-li </w:t>
      </w:r>
      <w:r>
        <w:rPr>
          <w:rFonts w:eastAsia="Calibri"/>
        </w:rPr>
        <w:t>Poskytovatel</w:t>
      </w:r>
      <w:r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389555FE" w14:textId="78458FCB" w:rsidR="00B75DAD" w:rsidRPr="0029677D" w:rsidRDefault="00B75DAD" w:rsidP="00B6563F">
      <w:pPr>
        <w:pStyle w:val="Nadpis2"/>
        <w:ind w:left="576" w:hanging="576"/>
      </w:pPr>
      <w:r>
        <w:rPr>
          <w:rFonts w:eastAsia="Calibri"/>
        </w:rPr>
        <w:t>Poskytovatel</w:t>
      </w:r>
      <w:r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1C03B0E" w14:textId="1FAA555C" w:rsidR="00B75DAD" w:rsidRPr="0029677D" w:rsidRDefault="00B75DAD" w:rsidP="00B6563F">
      <w:pPr>
        <w:pStyle w:val="Nadpis2"/>
        <w:ind w:left="576" w:hanging="576"/>
      </w:pPr>
      <w:r>
        <w:rPr>
          <w:rFonts w:eastAsia="Calibri"/>
        </w:rPr>
        <w:t>Poskytovatel</w:t>
      </w:r>
      <w:r w:rsidRPr="0029677D">
        <w:t xml:space="preserve">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w:t>
      </w:r>
      <w:r>
        <w:t>nům s nimi spojeným uvedeným v s</w:t>
      </w:r>
      <w:r w:rsidRPr="0029677D">
        <w:t>ankčních seznamech, nebo v jejich prospěch.</w:t>
      </w:r>
    </w:p>
    <w:p w14:paraId="66A65ABB" w14:textId="48B28468" w:rsidR="00B75DAD" w:rsidRPr="00DE20D8" w:rsidRDefault="00B75DAD" w:rsidP="00B75DAD">
      <w:pPr>
        <w:pStyle w:val="Nadpis2"/>
      </w:pPr>
      <w:r w:rsidRPr="000F4910">
        <w:t xml:space="preserve">Ukáží-li se prohlášení </w:t>
      </w:r>
      <w:r w:rsidRPr="000F4910">
        <w:rPr>
          <w:rFonts w:eastAsia="Calibri"/>
        </w:rPr>
        <w:t>Poskytovatele</w:t>
      </w:r>
      <w:r w:rsidRPr="00DE20D8">
        <w:t xml:space="preserve"> dle odstavce </w:t>
      </w:r>
      <w:r w:rsidR="009438E4" w:rsidRPr="00B6563F">
        <w:t>9</w:t>
      </w:r>
      <w:r w:rsidRPr="00B6563F">
        <w:t>.1</w:t>
      </w:r>
      <w:r w:rsidRPr="000F4910">
        <w:t xml:space="preserve"> a </w:t>
      </w:r>
      <w:r w:rsidR="009438E4" w:rsidRPr="00B6563F">
        <w:t>9</w:t>
      </w:r>
      <w:r w:rsidRPr="00B6563F">
        <w:t>.2</w:t>
      </w:r>
      <w:r w:rsidRPr="000F4910">
        <w:t xml:space="preserve"> této Smlouvy jako nepravdivá nebo poruší-li </w:t>
      </w:r>
      <w:r w:rsidRPr="000F4910">
        <w:rPr>
          <w:rFonts w:eastAsia="Calibri"/>
        </w:rPr>
        <w:t>Poskytovatel</w:t>
      </w:r>
      <w:r w:rsidRPr="00DE20D8">
        <w:t xml:space="preserve"> svou oznamovací povinnost dle odstavce </w:t>
      </w:r>
      <w:r w:rsidR="00DD23FB" w:rsidRPr="00B6563F">
        <w:t>9.4</w:t>
      </w:r>
      <w:r w:rsidRPr="000F4910">
        <w:t xml:space="preserve"> nebo povinnosti dle odstavců </w:t>
      </w:r>
      <w:r w:rsidR="009438E4" w:rsidRPr="00B6563F">
        <w:t>9</w:t>
      </w:r>
      <w:r w:rsidRPr="00B6563F">
        <w:t>.5</w:t>
      </w:r>
      <w:r w:rsidRPr="000F4910">
        <w:t xml:space="preserve"> nebo </w:t>
      </w:r>
      <w:r w:rsidR="009438E4" w:rsidRPr="00B6563F">
        <w:t>9</w:t>
      </w:r>
      <w:r w:rsidRPr="00B6563F">
        <w:t>.6</w:t>
      </w:r>
      <w:r w:rsidRPr="000F4910">
        <w:t xml:space="preserve"> této Smlouvy, je Objednatel oprávněn odstoupit od této Smlouvy. </w:t>
      </w:r>
      <w:r w:rsidRPr="000F4910">
        <w:rPr>
          <w:rFonts w:eastAsia="Calibri"/>
        </w:rPr>
        <w:t>Poskytovatel</w:t>
      </w:r>
      <w:r w:rsidRPr="00DE20D8">
        <w:t xml:space="preserve"> je dále povinen zaplatit za každé jednotlivé porušení povinností dle předchozí věty smluvní pokutu ve výši </w:t>
      </w:r>
      <w:r w:rsidR="003C5291" w:rsidRPr="00B6563F">
        <w:t>5</w:t>
      </w:r>
      <w:r w:rsidRPr="000F4910">
        <w:t xml:space="preserve"> % procent z Ceny D</w:t>
      </w:r>
      <w:r w:rsidRPr="00DE20D8">
        <w:t>íla bez DPH sjednané dle této Smlouvy. Ustanovení § 2004 odst. 2 Občanského zákoníku a § 2050 Občanského zákoníku se nepoužijí.</w:t>
      </w:r>
    </w:p>
    <w:p w14:paraId="7ACA4F45" w14:textId="1236324D" w:rsidR="004E1498" w:rsidRPr="004E1498" w:rsidRDefault="004E1498" w:rsidP="00321172">
      <w:pPr>
        <w:pStyle w:val="Nadpis1"/>
        <w:widowControl w:val="0"/>
        <w:suppressAutoHyphens w:val="0"/>
        <w:jc w:val="both"/>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321172">
      <w:pPr>
        <w:pStyle w:val="Nadpis2"/>
        <w:widowControl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321172">
      <w:pPr>
        <w:pStyle w:val="Nadpis2"/>
        <w:widowControl w:val="0"/>
      </w:pPr>
      <w:r>
        <w:t>Poskytovatel</w:t>
      </w:r>
      <w:r w:rsidR="004E1498" w:rsidRPr="004E1498">
        <w:t xml:space="preserve"> prohlašuje, že </w:t>
      </w:r>
    </w:p>
    <w:p w14:paraId="7633B164" w14:textId="77777777" w:rsidR="004E1498" w:rsidRPr="004E1498" w:rsidRDefault="004E1498" w:rsidP="00321172">
      <w:pPr>
        <w:pStyle w:val="Nadpis3"/>
        <w:widowControl w:val="0"/>
      </w:pPr>
      <w:r w:rsidRPr="004E1498">
        <w:t>se zněním Obchodních podmínek se před podpisem této smlouvy seznámil,</w:t>
      </w:r>
    </w:p>
    <w:p w14:paraId="382930A8" w14:textId="77777777" w:rsidR="004E1498" w:rsidRPr="004E1498" w:rsidRDefault="004E1498" w:rsidP="00321172">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59603921" w:rsidR="00F3415C" w:rsidRPr="00F3415C" w:rsidRDefault="00F3415C" w:rsidP="00F3415C">
      <w:pPr>
        <w:pStyle w:val="Nadpis2"/>
      </w:pPr>
      <w:r w:rsidRPr="00F3415C">
        <w:t>Tato smlouva je vyhotovena v</w:t>
      </w:r>
      <w:r w:rsidR="000F4910">
        <w:t>e</w:t>
      </w:r>
      <w:r w:rsidRPr="00F3415C">
        <w:t xml:space="preserve"> </w:t>
      </w:r>
      <w:r w:rsidR="000F4910" w:rsidRPr="00B6563F">
        <w:rPr>
          <w:highlight w:val="yellow"/>
        </w:rPr>
        <w:t xml:space="preserve">3 </w:t>
      </w:r>
      <w:r w:rsidRPr="00B6563F">
        <w:rPr>
          <w:highlight w:val="yellow"/>
        </w:rPr>
        <w:t>(</w:t>
      </w:r>
      <w:r w:rsidR="000F4910" w:rsidRPr="00B6563F">
        <w:rPr>
          <w:highlight w:val="yellow"/>
        </w:rPr>
        <w:t>třech</w:t>
      </w:r>
      <w:r w:rsidRPr="00B6563F">
        <w:rPr>
          <w:highlight w:val="yellow"/>
        </w:rPr>
        <w:t>)</w:t>
      </w:r>
      <w:r w:rsidRPr="00F3415C">
        <w:t xml:space="preserve"> stejnopisech s příslušnými přílohami, které jsou její nedílnou součástí. Každé vyhotovení má platnost originálu. Po podpisu obou smluvních stran objednatel obdrží </w:t>
      </w:r>
      <w:r w:rsidRPr="00B6563F">
        <w:t>2</w:t>
      </w:r>
      <w:r w:rsidRPr="00F3415C">
        <w:t xml:space="preserve"> vyhotovení smlouvy a </w:t>
      </w:r>
      <w:r>
        <w:t xml:space="preserve">Poskytovatel </w:t>
      </w:r>
      <w:r w:rsidR="000F4910" w:rsidRPr="00B6563F">
        <w:rPr>
          <w:highlight w:val="yellow"/>
        </w:rPr>
        <w:t>1</w:t>
      </w:r>
      <w:r w:rsidR="000F4910" w:rsidRPr="00F3415C">
        <w:t xml:space="preserve"> </w:t>
      </w:r>
      <w:r w:rsidRPr="00F3415C">
        <w:t>vyhotovení smlouvy.</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w:t>
      </w:r>
      <w:r w:rsidRPr="004E1498">
        <w:lastRenderedPageBreak/>
        <w:t>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B6563F" w:rsidRDefault="00B66E16" w:rsidP="00321172">
      <w:pPr>
        <w:pStyle w:val="Nadpis2"/>
        <w:widowControl w:val="0"/>
        <w:ind w:left="567" w:hanging="567"/>
      </w:pPr>
      <w:r w:rsidRPr="00B6563F">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B6563F">
      <w:pPr>
        <w:widowControl w:val="0"/>
        <w:overflowPunct w:val="0"/>
        <w:autoSpaceDE w:val="0"/>
        <w:autoSpaceDN w:val="0"/>
        <w:adjustRightInd w:val="0"/>
        <w:spacing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49813581" w:rsidR="007F328C" w:rsidRPr="00321172" w:rsidRDefault="007F328C" w:rsidP="00B6563F">
      <w:pPr>
        <w:widowControl w:val="0"/>
        <w:numPr>
          <w:ilvl w:val="0"/>
          <w:numId w:val="43"/>
        </w:numPr>
        <w:overflowPunct w:val="0"/>
        <w:autoSpaceDE w:val="0"/>
        <w:autoSpaceDN w:val="0"/>
        <w:adjustRightInd w:val="0"/>
        <w:spacing w:after="120" w:line="240" w:lineRule="auto"/>
        <w:ind w:left="1276" w:hanging="1276"/>
        <w:jc w:val="both"/>
        <w:textAlignment w:val="baseline"/>
        <w:rPr>
          <w:rFonts w:eastAsia="Times New Roman" w:cs="Times New Roman"/>
          <w:lang w:eastAsia="cs-CZ"/>
        </w:rPr>
      </w:pPr>
      <w:r w:rsidRPr="00321172">
        <w:rPr>
          <w:rFonts w:eastAsia="Times New Roman" w:cs="Times New Roman"/>
          <w:lang w:eastAsia="cs-CZ"/>
        </w:rPr>
        <w:t>Obchodní podmínky ke Smlouvě o poskytování služeb</w:t>
      </w:r>
    </w:p>
    <w:p w14:paraId="71D944D0" w14:textId="7CEE6968" w:rsidR="00B66E16" w:rsidRPr="00B6563F" w:rsidRDefault="000F4910" w:rsidP="00B6563F">
      <w:pPr>
        <w:widowControl w:val="0"/>
        <w:numPr>
          <w:ilvl w:val="0"/>
          <w:numId w:val="43"/>
        </w:numPr>
        <w:overflowPunct w:val="0"/>
        <w:autoSpaceDE w:val="0"/>
        <w:autoSpaceDN w:val="0"/>
        <w:adjustRightInd w:val="0"/>
        <w:spacing w:after="120" w:line="240" w:lineRule="auto"/>
        <w:ind w:left="1276" w:hanging="1276"/>
        <w:contextualSpacing/>
        <w:jc w:val="both"/>
        <w:textAlignment w:val="baseline"/>
        <w:rPr>
          <w:rFonts w:eastAsia="Times New Roman" w:cs="Times New Roman"/>
          <w:lang w:eastAsia="cs-CZ"/>
        </w:rPr>
      </w:pPr>
      <w:r w:rsidRPr="00B6563F">
        <w:rPr>
          <w:rFonts w:eastAsia="Times New Roman" w:cs="Times New Roman"/>
          <w:lang w:eastAsia="cs-CZ"/>
        </w:rPr>
        <w:t>Nabídkový ceník</w:t>
      </w:r>
    </w:p>
    <w:p w14:paraId="659AE1F5" w14:textId="77777777" w:rsidR="000F4910" w:rsidRPr="00B6563F" w:rsidRDefault="000F4910" w:rsidP="00B6563F">
      <w:pPr>
        <w:pStyle w:val="BodyText31"/>
        <w:numPr>
          <w:ilvl w:val="0"/>
          <w:numId w:val="43"/>
        </w:numPr>
        <w:tabs>
          <w:tab w:val="clear" w:pos="2268"/>
          <w:tab w:val="clear" w:pos="4536"/>
        </w:tabs>
        <w:spacing w:after="120"/>
        <w:ind w:left="1276" w:hanging="1276"/>
        <w:contextualSpacing/>
        <w:jc w:val="left"/>
        <w:rPr>
          <w:rFonts w:asciiTheme="minorHAnsi" w:hAnsiTheme="minorHAnsi"/>
          <w:sz w:val="18"/>
          <w:szCs w:val="18"/>
        </w:rPr>
      </w:pPr>
      <w:r w:rsidRPr="00B6563F">
        <w:rPr>
          <w:rFonts w:asciiTheme="minorHAnsi" w:hAnsiTheme="minorHAnsi"/>
          <w:sz w:val="18"/>
          <w:szCs w:val="18"/>
        </w:rPr>
        <w:t>Seznam poddodavatelů</w:t>
      </w:r>
    </w:p>
    <w:p w14:paraId="6C5A111E" w14:textId="5FB36623" w:rsidR="00B66E16" w:rsidRPr="007F133A" w:rsidRDefault="00B66E16" w:rsidP="00B6563F">
      <w:pPr>
        <w:pStyle w:val="Odstavecseseznamem"/>
        <w:widowControl w:val="0"/>
        <w:numPr>
          <w:ilvl w:val="0"/>
          <w:numId w:val="43"/>
        </w:numPr>
        <w:overflowPunct w:val="0"/>
        <w:autoSpaceDE w:val="0"/>
        <w:autoSpaceDN w:val="0"/>
        <w:adjustRightInd w:val="0"/>
        <w:spacing w:after="120" w:line="240" w:lineRule="auto"/>
        <w:ind w:left="1276" w:hanging="1276"/>
        <w:jc w:val="both"/>
        <w:textAlignment w:val="baseline"/>
        <w:rPr>
          <w:rFonts w:eastAsia="Times New Roman" w:cs="Times New Roman"/>
          <w:highlight w:val="yellow"/>
          <w:lang w:eastAsia="cs-CZ"/>
        </w:rPr>
      </w:pPr>
      <w:r w:rsidRPr="007F133A">
        <w:rPr>
          <w:rFonts w:eastAsia="Times New Roman" w:cs="Times New Roman"/>
          <w:highlight w:val="yellow"/>
          <w:lang w:eastAsia="cs-CZ"/>
        </w:rPr>
        <w:t xml:space="preserve">Plná moc (pouze v případě zastoupení </w:t>
      </w:r>
      <w:r w:rsidR="004E7B39" w:rsidRPr="007F133A">
        <w:rPr>
          <w:rFonts w:eastAsia="Times New Roman" w:cs="Times New Roman"/>
          <w:highlight w:val="yellow"/>
          <w:lang w:eastAsia="cs-CZ"/>
        </w:rPr>
        <w:t>Poskytovatel</w:t>
      </w:r>
      <w:r w:rsidRPr="007F133A">
        <w:rPr>
          <w:rFonts w:eastAsia="Times New Roman" w:cs="Times New Roman"/>
          <w:highlight w:val="yellow"/>
          <w:lang w:eastAsia="cs-CZ"/>
        </w:rPr>
        <w:t>e osobou na základě plné moci)</w:t>
      </w:r>
    </w:p>
    <w:p w14:paraId="3F44AD93" w14:textId="77777777" w:rsidR="00DC3E9D" w:rsidRPr="005B622E" w:rsidRDefault="00DC3E9D" w:rsidP="00B6563F">
      <w:pPr>
        <w:pStyle w:val="BodyText31"/>
        <w:numPr>
          <w:ilvl w:val="0"/>
          <w:numId w:val="43"/>
        </w:numPr>
        <w:tabs>
          <w:tab w:val="clear" w:pos="2268"/>
          <w:tab w:val="clear" w:pos="4536"/>
        </w:tabs>
        <w:spacing w:after="120"/>
        <w:ind w:left="1276" w:hanging="1276"/>
        <w:jc w:val="left"/>
        <w:rPr>
          <w:rFonts w:asciiTheme="minorHAnsi" w:hAnsiTheme="minorHAnsi"/>
          <w:sz w:val="18"/>
          <w:szCs w:val="18"/>
        </w:rPr>
      </w:pPr>
      <w:r w:rsidRPr="005B622E">
        <w:rPr>
          <w:rFonts w:asciiTheme="minorHAnsi" w:hAnsiTheme="minorHAnsi"/>
          <w:sz w:val="18"/>
          <w:szCs w:val="18"/>
        </w:rPr>
        <w:t>Analýza nebezpečí a hodnocení rizik</w:t>
      </w:r>
      <w:r>
        <w:rPr>
          <w:rFonts w:asciiTheme="minorHAnsi" w:hAnsiTheme="minorHAnsi"/>
          <w:sz w:val="18"/>
          <w:szCs w:val="18"/>
        </w:rPr>
        <w:t xml:space="preserve"> pracovních činností</w:t>
      </w:r>
    </w:p>
    <w:p w14:paraId="2B6E8081" w14:textId="4DE88FDD" w:rsidR="007F133A" w:rsidRPr="00B6563F" w:rsidRDefault="007F133A" w:rsidP="00B6563F">
      <w:pPr>
        <w:pStyle w:val="BodyText31"/>
        <w:numPr>
          <w:ilvl w:val="0"/>
          <w:numId w:val="43"/>
        </w:numPr>
        <w:tabs>
          <w:tab w:val="clear" w:pos="2268"/>
          <w:tab w:val="clear" w:pos="4536"/>
        </w:tabs>
        <w:spacing w:after="120"/>
        <w:ind w:left="1276" w:hanging="1276"/>
        <w:jc w:val="left"/>
        <w:rPr>
          <w:rFonts w:asciiTheme="minorHAnsi" w:hAnsiTheme="minorHAnsi"/>
          <w:sz w:val="18"/>
          <w:szCs w:val="18"/>
        </w:rPr>
      </w:pPr>
      <w:r w:rsidRPr="00B6563F">
        <w:rPr>
          <w:rFonts w:asciiTheme="minorHAnsi" w:hAnsiTheme="minorHAnsi"/>
          <w:sz w:val="18"/>
          <w:szCs w:val="18"/>
        </w:rPr>
        <w:t>Opatření pro postup v případě anonymního oznámení o NVS</w:t>
      </w:r>
    </w:p>
    <w:p w14:paraId="3EA93F21" w14:textId="77777777" w:rsidR="00D101A7" w:rsidRDefault="00D101A7" w:rsidP="00D101A7">
      <w:pPr>
        <w:pStyle w:val="Textbezodsazen"/>
        <w:ind w:left="720"/>
      </w:pPr>
    </w:p>
    <w:p w14:paraId="039E5B23" w14:textId="77777777" w:rsidR="000F4910" w:rsidRDefault="000F4910" w:rsidP="000F4910">
      <w:pPr>
        <w:pStyle w:val="Textbezodsazen"/>
        <w:tabs>
          <w:tab w:val="left" w:pos="4395"/>
        </w:tabs>
      </w:pPr>
      <w:r>
        <w:t>V Praze dne</w:t>
      </w:r>
      <w:r>
        <w:tab/>
        <w:t xml:space="preserve">V </w:t>
      </w:r>
      <w:r w:rsidRPr="00E866D0">
        <w:rPr>
          <w:highlight w:val="yellow"/>
        </w:rPr>
        <w:t>[DOPLNÍ POSKYTOVATEL]</w:t>
      </w:r>
      <w:r>
        <w:t xml:space="preserve"> dne</w:t>
      </w:r>
    </w:p>
    <w:p w14:paraId="6D1AFE91" w14:textId="77777777" w:rsidR="000F4910" w:rsidRDefault="000F4910" w:rsidP="000F4910">
      <w:pPr>
        <w:pStyle w:val="Textbezodsazen"/>
        <w:tabs>
          <w:tab w:val="left" w:pos="4395"/>
        </w:tabs>
      </w:pPr>
    </w:p>
    <w:p w14:paraId="3FA4EB00" w14:textId="77777777" w:rsidR="000F4910" w:rsidRDefault="000F4910" w:rsidP="000F4910">
      <w:pPr>
        <w:pStyle w:val="Textbezodsazen"/>
        <w:tabs>
          <w:tab w:val="left" w:pos="4395"/>
        </w:tabs>
      </w:pPr>
    </w:p>
    <w:p w14:paraId="34D82F40" w14:textId="77777777" w:rsidR="000F4910" w:rsidRDefault="000F4910" w:rsidP="000F4910">
      <w:pPr>
        <w:pStyle w:val="Textbezodsazen"/>
        <w:tabs>
          <w:tab w:val="left" w:pos="4395"/>
        </w:tabs>
      </w:pPr>
    </w:p>
    <w:p w14:paraId="64997254" w14:textId="77777777" w:rsidR="000F4910" w:rsidRDefault="000F4910" w:rsidP="000F4910">
      <w:pPr>
        <w:pStyle w:val="Textbezodsazen"/>
        <w:tabs>
          <w:tab w:val="left" w:pos="4395"/>
        </w:tabs>
      </w:pPr>
      <w:r>
        <w:t>………………………………………</w:t>
      </w:r>
      <w:r>
        <w:tab/>
        <w:t>………………………………………</w:t>
      </w:r>
    </w:p>
    <w:p w14:paraId="6DC3F6AD" w14:textId="77777777" w:rsidR="000F4910" w:rsidRDefault="000F4910" w:rsidP="000F4910">
      <w:pPr>
        <w:pStyle w:val="Textbezodsazen"/>
        <w:tabs>
          <w:tab w:val="left" w:pos="4395"/>
        </w:tabs>
        <w:spacing w:after="0"/>
      </w:pPr>
      <w:r>
        <w:t>Ing. Vladimír Filip</w:t>
      </w:r>
      <w:r>
        <w:tab/>
      </w:r>
      <w:r w:rsidRPr="00E866D0">
        <w:rPr>
          <w:highlight w:val="yellow"/>
        </w:rPr>
        <w:t>[DOPLNÍ POSKYTOVATEL]</w:t>
      </w:r>
    </w:p>
    <w:p w14:paraId="11DB35D9" w14:textId="77777777" w:rsidR="000F4910" w:rsidRDefault="000F4910" w:rsidP="000F4910">
      <w:pPr>
        <w:pStyle w:val="Textbezodsazen"/>
        <w:tabs>
          <w:tab w:val="left" w:pos="4395"/>
        </w:tabs>
        <w:spacing w:after="0"/>
      </w:pPr>
      <w:r>
        <w:t>ředitel Oblastního ředitelství Praha</w:t>
      </w:r>
    </w:p>
    <w:p w14:paraId="21AD87FF" w14:textId="77777777" w:rsidR="000F4910" w:rsidRDefault="000F4910" w:rsidP="000F4910">
      <w:pPr>
        <w:pStyle w:val="Textbezodsazen"/>
        <w:tabs>
          <w:tab w:val="left" w:pos="4395"/>
        </w:tabs>
      </w:pPr>
      <w:r>
        <w:t>Správa železnic, státní organizace</w:t>
      </w:r>
      <w:r w:rsidDel="00931370">
        <w:t xml:space="preserve"> </w:t>
      </w:r>
    </w:p>
    <w:p w14:paraId="19470407" w14:textId="77777777" w:rsidR="000F4910" w:rsidRDefault="000F4910" w:rsidP="000F4910">
      <w:pPr>
        <w:pStyle w:val="Textbezodsazen"/>
        <w:ind w:left="360"/>
      </w:pPr>
    </w:p>
    <w:p w14:paraId="54723178" w14:textId="77777777" w:rsidR="000F4910" w:rsidRDefault="000F4910" w:rsidP="000F4910">
      <w:pPr>
        <w:pStyle w:val="Textbezodsazen"/>
        <w:ind w:left="360"/>
      </w:pPr>
    </w:p>
    <w:p w14:paraId="3BE0B9E3" w14:textId="77777777" w:rsidR="000F4910" w:rsidRDefault="000F4910" w:rsidP="000F4910">
      <w:pPr>
        <w:pStyle w:val="Textbezodsazen"/>
        <w:ind w:left="720"/>
      </w:pPr>
    </w:p>
    <w:p w14:paraId="37480585" w14:textId="77777777" w:rsidR="000F4910" w:rsidRDefault="000F4910" w:rsidP="000F4910">
      <w:pPr>
        <w:pStyle w:val="Textbezodsazen"/>
      </w:pPr>
      <w:bookmarkStart w:id="0" w:name="_Hlk142637843"/>
      <w:r>
        <w:t>Tato smlouva byla uveřejněna prostřednictvím Registru smluv dne ……………</w:t>
      </w:r>
    </w:p>
    <w:bookmarkEnd w:id="0"/>
    <w:p w14:paraId="631E6955" w14:textId="75ECD932" w:rsidR="00D45DE0" w:rsidRDefault="00D45DE0" w:rsidP="00321172">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1A554EB9" w14:textId="77777777" w:rsidR="00D101A7" w:rsidRPr="00D45DE0" w:rsidRDefault="00D101A7" w:rsidP="00321172">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sectPr w:rsidR="00D101A7" w:rsidRPr="00D45DE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CC56B" w14:textId="77777777" w:rsidR="00692910" w:rsidRDefault="00692910" w:rsidP="00962258">
      <w:pPr>
        <w:spacing w:after="0" w:line="240" w:lineRule="auto"/>
      </w:pPr>
      <w:r>
        <w:separator/>
      </w:r>
    </w:p>
  </w:endnote>
  <w:endnote w:type="continuationSeparator" w:id="0">
    <w:p w14:paraId="78AD85C1" w14:textId="77777777" w:rsidR="00692910" w:rsidRDefault="006929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27545C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11D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11D1">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5942A4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11D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11D1">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10428DF2" w14:textId="77777777" w:rsidR="00592757" w:rsidRDefault="0082423D" w:rsidP="00093A53">
          <w:pPr>
            <w:pStyle w:val="Zpat"/>
          </w:pPr>
          <w:r>
            <w:t>Oblastní ředitelství Praha</w:t>
          </w:r>
        </w:p>
        <w:p w14:paraId="02093D5E" w14:textId="77777777" w:rsidR="0082423D" w:rsidRDefault="0082423D" w:rsidP="00093A53">
          <w:pPr>
            <w:pStyle w:val="Zpat"/>
          </w:pPr>
          <w:r>
            <w:t>Partyzánská 24</w:t>
          </w:r>
        </w:p>
        <w:p w14:paraId="0C29E961" w14:textId="06868A32" w:rsidR="0082423D" w:rsidRDefault="0082423D" w:rsidP="00093A53">
          <w:pPr>
            <w:pStyle w:val="Zpat"/>
          </w:pPr>
          <w:r>
            <w:t>170 00 Praha 7 - Holešovice</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A0E8D" w14:textId="77777777" w:rsidR="00692910" w:rsidRDefault="00692910" w:rsidP="00962258">
      <w:pPr>
        <w:spacing w:after="0" w:line="240" w:lineRule="auto"/>
      </w:pPr>
      <w:r>
        <w:separator/>
      </w:r>
    </w:p>
  </w:footnote>
  <w:footnote w:type="continuationSeparator" w:id="0">
    <w:p w14:paraId="41A634F8" w14:textId="77777777" w:rsidR="00692910" w:rsidRDefault="006929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1F2ADE5C"/>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sz w:val="18"/>
        <w:szCs w:val="18"/>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5F2DE8"/>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AF0A8C"/>
    <w:multiLevelType w:val="multilevel"/>
    <w:tmpl w:val="0D34D660"/>
    <w:numStyleLink w:val="ListBulletmultilevel"/>
  </w:abstractNum>
  <w:abstractNum w:abstractNumId="23" w15:restartNumberingAfterBreak="0">
    <w:nsid w:val="6EE751E0"/>
    <w:multiLevelType w:val="hybridMultilevel"/>
    <w:tmpl w:val="41084B04"/>
    <w:lvl w:ilvl="0" w:tplc="9656DCA4">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8"/>
  </w:num>
  <w:num w:numId="4">
    <w:abstractNumId w:val="25"/>
  </w:num>
  <w:num w:numId="5">
    <w:abstractNumId w:val="11"/>
  </w:num>
  <w:num w:numId="6">
    <w:abstractNumId w:val="2"/>
  </w:num>
  <w:num w:numId="7">
    <w:abstractNumId w:val="13"/>
  </w:num>
  <w:num w:numId="8">
    <w:abstractNumId w:val="26"/>
  </w:num>
  <w:num w:numId="9">
    <w:abstractNumId w:val="14"/>
  </w:num>
  <w:num w:numId="10">
    <w:abstractNumId w:val="9"/>
  </w:num>
  <w:num w:numId="11">
    <w:abstractNumId w:val="4"/>
  </w:num>
  <w:num w:numId="12">
    <w:abstractNumId w:val="21"/>
  </w:num>
  <w:num w:numId="13">
    <w:abstractNumId w:val="24"/>
  </w:num>
  <w:num w:numId="14">
    <w:abstractNumId w:val="7"/>
  </w:num>
  <w:num w:numId="15">
    <w:abstractNumId w:val="27"/>
  </w:num>
  <w:num w:numId="16">
    <w:abstractNumId w:val="16"/>
  </w:num>
  <w:num w:numId="17">
    <w:abstractNumId w:val="10"/>
  </w:num>
  <w:num w:numId="18">
    <w:abstractNumId w:val="12"/>
  </w:num>
  <w:num w:numId="19">
    <w:abstractNumId w:val="19"/>
  </w:num>
  <w:num w:numId="20">
    <w:abstractNumId w:val="18"/>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7"/>
  </w:num>
  <w:num w:numId="35">
    <w:abstractNumId w:val="10"/>
  </w:num>
  <w:num w:numId="36">
    <w:abstractNumId w:val="10"/>
  </w:num>
  <w:num w:numId="37">
    <w:abstractNumId w:val="10"/>
  </w:num>
  <w:num w:numId="38">
    <w:abstractNumId w:val="0"/>
  </w:num>
  <w:num w:numId="39">
    <w:abstractNumId w:val="10"/>
  </w:num>
  <w:num w:numId="40">
    <w:abstractNumId w:val="5"/>
  </w:num>
  <w:num w:numId="41">
    <w:abstractNumId w:val="22"/>
  </w:num>
  <w:num w:numId="42">
    <w:abstractNumId w:val="20"/>
  </w:num>
  <w:num w:numId="43">
    <w:abstractNumId w:val="23"/>
  </w:num>
  <w:num w:numId="44">
    <w:abstractNumId w:val="1"/>
  </w:num>
  <w:num w:numId="45">
    <w:abstractNumId w:val="15"/>
  </w:num>
  <w:num w:numId="46">
    <w:abstractNumId w:val="10"/>
  </w:num>
  <w:num w:numId="4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055A"/>
    <w:rsid w:val="0003023D"/>
    <w:rsid w:val="00040B7E"/>
    <w:rsid w:val="000612CF"/>
    <w:rsid w:val="00072C1E"/>
    <w:rsid w:val="00073A69"/>
    <w:rsid w:val="000838F5"/>
    <w:rsid w:val="000A1088"/>
    <w:rsid w:val="000A13BC"/>
    <w:rsid w:val="000A3F85"/>
    <w:rsid w:val="000C2D37"/>
    <w:rsid w:val="000D1A0F"/>
    <w:rsid w:val="000E23A7"/>
    <w:rsid w:val="000F4910"/>
    <w:rsid w:val="000F4F6A"/>
    <w:rsid w:val="0010693F"/>
    <w:rsid w:val="00107E5E"/>
    <w:rsid w:val="00111F39"/>
    <w:rsid w:val="00114472"/>
    <w:rsid w:val="0013379C"/>
    <w:rsid w:val="00151710"/>
    <w:rsid w:val="001550BC"/>
    <w:rsid w:val="001605B9"/>
    <w:rsid w:val="00170EC5"/>
    <w:rsid w:val="001747C1"/>
    <w:rsid w:val="0018287F"/>
    <w:rsid w:val="00184743"/>
    <w:rsid w:val="001F32C9"/>
    <w:rsid w:val="001F7617"/>
    <w:rsid w:val="00207DF5"/>
    <w:rsid w:val="00265C13"/>
    <w:rsid w:val="00280E07"/>
    <w:rsid w:val="002A6874"/>
    <w:rsid w:val="002C31BF"/>
    <w:rsid w:val="002D08B1"/>
    <w:rsid w:val="002D65B2"/>
    <w:rsid w:val="002E0CD7"/>
    <w:rsid w:val="002F4B54"/>
    <w:rsid w:val="003013FA"/>
    <w:rsid w:val="003071BD"/>
    <w:rsid w:val="00321172"/>
    <w:rsid w:val="00341DCF"/>
    <w:rsid w:val="003452CE"/>
    <w:rsid w:val="003557CB"/>
    <w:rsid w:val="00357BC6"/>
    <w:rsid w:val="00364455"/>
    <w:rsid w:val="003956C6"/>
    <w:rsid w:val="003A4D59"/>
    <w:rsid w:val="003B39EC"/>
    <w:rsid w:val="003C5291"/>
    <w:rsid w:val="003D12BD"/>
    <w:rsid w:val="003D703A"/>
    <w:rsid w:val="003E082D"/>
    <w:rsid w:val="003F20D8"/>
    <w:rsid w:val="00441430"/>
    <w:rsid w:val="00450F07"/>
    <w:rsid w:val="00453CD3"/>
    <w:rsid w:val="00460660"/>
    <w:rsid w:val="004860FC"/>
    <w:rsid w:val="00486107"/>
    <w:rsid w:val="00490CF1"/>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82946"/>
    <w:rsid w:val="00692910"/>
    <w:rsid w:val="006A5570"/>
    <w:rsid w:val="006A689C"/>
    <w:rsid w:val="006B3D79"/>
    <w:rsid w:val="006C7697"/>
    <w:rsid w:val="006D6313"/>
    <w:rsid w:val="006D7AFE"/>
    <w:rsid w:val="006E0578"/>
    <w:rsid w:val="006E314D"/>
    <w:rsid w:val="006E3E36"/>
    <w:rsid w:val="006E6E61"/>
    <w:rsid w:val="006F7CD7"/>
    <w:rsid w:val="00702628"/>
    <w:rsid w:val="00705D26"/>
    <w:rsid w:val="007061F8"/>
    <w:rsid w:val="00710723"/>
    <w:rsid w:val="00722D1A"/>
    <w:rsid w:val="00723ED1"/>
    <w:rsid w:val="00743525"/>
    <w:rsid w:val="00744CF6"/>
    <w:rsid w:val="007510DD"/>
    <w:rsid w:val="0076286B"/>
    <w:rsid w:val="00766846"/>
    <w:rsid w:val="0077673A"/>
    <w:rsid w:val="007846E1"/>
    <w:rsid w:val="007A0C04"/>
    <w:rsid w:val="007A27FA"/>
    <w:rsid w:val="007B570C"/>
    <w:rsid w:val="007C589B"/>
    <w:rsid w:val="007E4A6E"/>
    <w:rsid w:val="007F133A"/>
    <w:rsid w:val="007F328C"/>
    <w:rsid w:val="007F3523"/>
    <w:rsid w:val="007F56A7"/>
    <w:rsid w:val="00807DD0"/>
    <w:rsid w:val="00810E9B"/>
    <w:rsid w:val="008124E5"/>
    <w:rsid w:val="0082423D"/>
    <w:rsid w:val="0086114C"/>
    <w:rsid w:val="008659F3"/>
    <w:rsid w:val="008819E9"/>
    <w:rsid w:val="00886D4B"/>
    <w:rsid w:val="00895406"/>
    <w:rsid w:val="008A3568"/>
    <w:rsid w:val="008B24C9"/>
    <w:rsid w:val="008D03B9"/>
    <w:rsid w:val="008E1E86"/>
    <w:rsid w:val="008F18D6"/>
    <w:rsid w:val="008F3BC6"/>
    <w:rsid w:val="008F7DFE"/>
    <w:rsid w:val="00904780"/>
    <w:rsid w:val="00922385"/>
    <w:rsid w:val="009223DF"/>
    <w:rsid w:val="00927135"/>
    <w:rsid w:val="00936091"/>
    <w:rsid w:val="00940D8A"/>
    <w:rsid w:val="009438E4"/>
    <w:rsid w:val="00950C1F"/>
    <w:rsid w:val="00962258"/>
    <w:rsid w:val="009678B7"/>
    <w:rsid w:val="00974FD8"/>
    <w:rsid w:val="009833E1"/>
    <w:rsid w:val="00992D9C"/>
    <w:rsid w:val="009945D6"/>
    <w:rsid w:val="00996CB8"/>
    <w:rsid w:val="009A0078"/>
    <w:rsid w:val="009A396A"/>
    <w:rsid w:val="009B14A9"/>
    <w:rsid w:val="009B2E97"/>
    <w:rsid w:val="009C651E"/>
    <w:rsid w:val="009D3556"/>
    <w:rsid w:val="009E07F4"/>
    <w:rsid w:val="009F392E"/>
    <w:rsid w:val="00A02EE7"/>
    <w:rsid w:val="00A07644"/>
    <w:rsid w:val="00A52B36"/>
    <w:rsid w:val="00A6177B"/>
    <w:rsid w:val="00A63FD5"/>
    <w:rsid w:val="00A66136"/>
    <w:rsid w:val="00A6738F"/>
    <w:rsid w:val="00AA4CBB"/>
    <w:rsid w:val="00AA65FA"/>
    <w:rsid w:val="00AA6E01"/>
    <w:rsid w:val="00AA7351"/>
    <w:rsid w:val="00AB53C9"/>
    <w:rsid w:val="00AB6759"/>
    <w:rsid w:val="00AD056F"/>
    <w:rsid w:val="00AD6731"/>
    <w:rsid w:val="00AE74AE"/>
    <w:rsid w:val="00B111D1"/>
    <w:rsid w:val="00B15D0D"/>
    <w:rsid w:val="00B34A8A"/>
    <w:rsid w:val="00B354A6"/>
    <w:rsid w:val="00B54C16"/>
    <w:rsid w:val="00B6563F"/>
    <w:rsid w:val="00B66E16"/>
    <w:rsid w:val="00B75DAD"/>
    <w:rsid w:val="00B75EE1"/>
    <w:rsid w:val="00B77481"/>
    <w:rsid w:val="00B83B0A"/>
    <w:rsid w:val="00B8518B"/>
    <w:rsid w:val="00BB184D"/>
    <w:rsid w:val="00BB202D"/>
    <w:rsid w:val="00BC3B69"/>
    <w:rsid w:val="00BD7E91"/>
    <w:rsid w:val="00BF5E64"/>
    <w:rsid w:val="00C02D0A"/>
    <w:rsid w:val="00C03A6E"/>
    <w:rsid w:val="00C25494"/>
    <w:rsid w:val="00C44F6A"/>
    <w:rsid w:val="00C47AE3"/>
    <w:rsid w:val="00C916C5"/>
    <w:rsid w:val="00CD1FC4"/>
    <w:rsid w:val="00CE287A"/>
    <w:rsid w:val="00CF484D"/>
    <w:rsid w:val="00D07EFE"/>
    <w:rsid w:val="00D101A7"/>
    <w:rsid w:val="00D21061"/>
    <w:rsid w:val="00D24836"/>
    <w:rsid w:val="00D4108E"/>
    <w:rsid w:val="00D45DE0"/>
    <w:rsid w:val="00D6163D"/>
    <w:rsid w:val="00D61CD5"/>
    <w:rsid w:val="00D8302C"/>
    <w:rsid w:val="00D831A3"/>
    <w:rsid w:val="00D85C5B"/>
    <w:rsid w:val="00DB295F"/>
    <w:rsid w:val="00DC3E9D"/>
    <w:rsid w:val="00DC75F3"/>
    <w:rsid w:val="00DD23FB"/>
    <w:rsid w:val="00DD46F3"/>
    <w:rsid w:val="00DE1EBF"/>
    <w:rsid w:val="00DE20D8"/>
    <w:rsid w:val="00DE56F2"/>
    <w:rsid w:val="00DF116D"/>
    <w:rsid w:val="00DF12E7"/>
    <w:rsid w:val="00E174B0"/>
    <w:rsid w:val="00E2730E"/>
    <w:rsid w:val="00E64568"/>
    <w:rsid w:val="00E73DA0"/>
    <w:rsid w:val="00E85E32"/>
    <w:rsid w:val="00EB104F"/>
    <w:rsid w:val="00EC4A73"/>
    <w:rsid w:val="00ED14BD"/>
    <w:rsid w:val="00EF1804"/>
    <w:rsid w:val="00F0533E"/>
    <w:rsid w:val="00F076A0"/>
    <w:rsid w:val="00F1048D"/>
    <w:rsid w:val="00F12DEC"/>
    <w:rsid w:val="00F1715C"/>
    <w:rsid w:val="00F310F8"/>
    <w:rsid w:val="00F3415C"/>
    <w:rsid w:val="00F35939"/>
    <w:rsid w:val="00F45607"/>
    <w:rsid w:val="00F659EB"/>
    <w:rsid w:val="00F81B99"/>
    <w:rsid w:val="00F86BA6"/>
    <w:rsid w:val="00F94ADB"/>
    <w:rsid w:val="00F969C4"/>
    <w:rsid w:val="00FC6389"/>
    <w:rsid w:val="00FD24E3"/>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1710"/>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151710"/>
    <w:pPr>
      <w:numPr>
        <w:ilvl w:val="1"/>
        <w:numId w:val="17"/>
      </w:numPr>
      <w:overflowPunct w:val="0"/>
      <w:autoSpaceDE w:val="0"/>
      <w:autoSpaceDN w:val="0"/>
      <w:adjustRightInd w:val="0"/>
      <w:spacing w:after="0"/>
      <w:ind w:left="578" w:hanging="578"/>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151710"/>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44"/>
      </w:numPr>
      <w:spacing w:after="120"/>
      <w:jc w:val="both"/>
    </w:pPr>
  </w:style>
  <w:style w:type="paragraph" w:customStyle="1" w:styleId="Nadpis1-1">
    <w:name w:val="_Nadpis_1-1"/>
    <w:basedOn w:val="Odstavecseseznamem"/>
    <w:next w:val="Normln"/>
    <w:qFormat/>
    <w:rsid w:val="00974FD8"/>
    <w:pPr>
      <w:keepNext/>
      <w:numPr>
        <w:numId w:val="4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45"/>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45"/>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324315246">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1B841D07-AC4E-4A73-A14F-99725E4E8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2761</Words>
  <Characters>16290</Characters>
  <Application>Microsoft Office Word</Application>
  <DocSecurity>0</DocSecurity>
  <Lines>135</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5</cp:revision>
  <cp:lastPrinted>2023-10-03T05:40:00Z</cp:lastPrinted>
  <dcterms:created xsi:type="dcterms:W3CDTF">2023-10-03T05:33:00Z</dcterms:created>
  <dcterms:modified xsi:type="dcterms:W3CDTF">2023-10-03T08:21:00Z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