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B5F9C0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365C2F">
        <w:rPr>
          <w:rFonts w:ascii="Verdana" w:hAnsi="Verdana" w:cstheme="minorHAnsi"/>
          <w:b/>
          <w:sz w:val="28"/>
          <w:szCs w:val="28"/>
          <w:u w:val="single"/>
        </w:rPr>
        <w:t xml:space="preserve"> </w:t>
      </w:r>
      <w:r w:rsidR="001024B1">
        <w:rPr>
          <w:rFonts w:ascii="Verdana" w:hAnsi="Verdana" w:cstheme="minorHAnsi"/>
          <w:b/>
          <w:sz w:val="28"/>
          <w:szCs w:val="28"/>
          <w:u w:val="single"/>
        </w:rPr>
        <w:t>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365C2F"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09ED76D"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1024B1">
        <w:rPr>
          <w:rFonts w:ascii="Verdana" w:eastAsia="Verdana" w:hAnsi="Verdana"/>
          <w:b/>
          <w:sz w:val="18"/>
          <w:szCs w:val="18"/>
        </w:rPr>
        <w:t>6</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1A5BF9" w:rsidRPr="001A5BF9">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211B27"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6714F" w:rsidRPr="0006714F">
          <w:rPr>
            <w:rStyle w:val="Hypertextovodkaz"/>
            <w:rFonts w:ascii="Verdana" w:hAnsi="Verdana"/>
            <w:sz w:val="18"/>
            <w:szCs w:val="18"/>
          </w:rPr>
          <w:t>RehakMa@spravazeleznic.cz</w:t>
        </w:r>
      </w:hyperlink>
      <w:r w:rsidR="0006714F" w:rsidRPr="0006714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713215">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3FC5C490" w:rsidR="0038779C" w:rsidRPr="002507FA" w:rsidRDefault="00713215"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713215">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60BB9CAB"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13215">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64799D12"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1024B1">
        <w:rPr>
          <w:rFonts w:ascii="Verdana" w:hAnsi="Verdana" w:cstheme="minorHAnsi"/>
          <w:b/>
          <w:sz w:val="18"/>
          <w:szCs w:val="18"/>
        </w:rPr>
        <w:t>1 15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06714F" w:rsidRPr="0006714F">
        <w:rPr>
          <w:rFonts w:ascii="Verdana" w:hAnsi="Verdana" w:cstheme="minorHAnsi"/>
          <w:b/>
          <w:sz w:val="18"/>
          <w:szCs w:val="18"/>
        </w:rPr>
        <w:t>1 </w:t>
      </w:r>
      <w:r w:rsidR="001024B1">
        <w:rPr>
          <w:rFonts w:ascii="Verdana" w:hAnsi="Verdana" w:cstheme="minorHAnsi"/>
          <w:b/>
          <w:sz w:val="18"/>
          <w:szCs w:val="18"/>
        </w:rPr>
        <w:t>2</w:t>
      </w:r>
      <w:r w:rsidR="0006714F" w:rsidRPr="0006714F">
        <w:rPr>
          <w:rFonts w:ascii="Verdana" w:hAnsi="Verdana" w:cstheme="minorHAnsi"/>
          <w:b/>
          <w:sz w:val="18"/>
          <w:szCs w:val="18"/>
        </w:rPr>
        <w:t>00</w:t>
      </w:r>
      <w:r w:rsidR="0006714F">
        <w:rPr>
          <w:rFonts w:ascii="Verdana" w:hAnsi="Verdana" w:cstheme="minorHAnsi"/>
          <w:sz w:val="18"/>
          <w:szCs w:val="18"/>
        </w:rPr>
        <w:t xml:space="preserve"> </w:t>
      </w:r>
      <w:r w:rsidR="00327B6B" w:rsidRPr="003F18A8">
        <w:rPr>
          <w:rFonts w:ascii="Verdana" w:hAnsi="Verdana" w:cstheme="minorHAnsi"/>
          <w:b/>
          <w:sz w:val="18"/>
          <w:szCs w:val="18"/>
        </w:rPr>
        <w:t>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713215">
      <w:pPr>
        <w:pStyle w:val="Odstavecseseznamem"/>
        <w:numPr>
          <w:ilvl w:val="0"/>
          <w:numId w:val="2"/>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365C2F">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9065B0B"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65C2F" w:rsidRPr="00365C2F">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0120F830"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8DDEC80" w14:textId="77777777" w:rsidR="00365C2F" w:rsidRPr="002507FA" w:rsidRDefault="00365C2F" w:rsidP="00365C2F">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713215">
        <w:rPr>
          <w:rFonts w:ascii="Verdana" w:hAnsi="Verdana" w:cstheme="minorHAnsi"/>
          <w:b w:val="0"/>
          <w:sz w:val="18"/>
          <w:szCs w:val="18"/>
          <w:highlight w:val="green"/>
        </w:rPr>
        <w:t>V</w:t>
      </w:r>
      <w:r w:rsidR="000770E5" w:rsidRPr="00713215">
        <w:rPr>
          <w:rFonts w:ascii="Verdana" w:hAnsi="Verdana" w:cstheme="minorHAnsi"/>
          <w:b w:val="0"/>
          <w:sz w:val="18"/>
          <w:szCs w:val="18"/>
          <w:highlight w:val="green"/>
        </w:rPr>
        <w:t> </w:t>
      </w:r>
      <w:r w:rsidR="00951424" w:rsidRPr="00713215">
        <w:rPr>
          <w:rFonts w:ascii="Verdana" w:hAnsi="Verdana" w:cstheme="minorHAnsi"/>
          <w:b w:val="0"/>
          <w:sz w:val="18"/>
          <w:szCs w:val="18"/>
          <w:highlight w:val="green"/>
        </w:rPr>
        <w:t>………………</w:t>
      </w:r>
      <w:r w:rsidR="000770E5" w:rsidRPr="00713215">
        <w:rPr>
          <w:rFonts w:ascii="Verdana" w:hAnsi="Verdana" w:cstheme="minorHAnsi"/>
          <w:b w:val="0"/>
          <w:sz w:val="18"/>
          <w:szCs w:val="18"/>
          <w:highlight w:val="green"/>
        </w:rPr>
        <w:t>, dne</w:t>
      </w:r>
      <w:r w:rsidR="002507FA" w:rsidRPr="00713215">
        <w:rPr>
          <w:rFonts w:ascii="Verdana" w:hAnsi="Verdana" w:cstheme="minorHAnsi"/>
          <w:b w:val="0"/>
          <w:sz w:val="18"/>
          <w:szCs w:val="18"/>
          <w:highlight w:val="green"/>
        </w:rPr>
        <w:t xml:space="preserve"> ………………</w:t>
      </w:r>
      <w:r w:rsidR="00174612" w:rsidRPr="00713215">
        <w:rPr>
          <w:rFonts w:ascii="Verdana" w:hAnsi="Verdana" w:cstheme="minorHAnsi"/>
          <w:b w:val="0"/>
          <w:sz w:val="18"/>
          <w:szCs w:val="18"/>
          <w:highlight w:val="green"/>
        </w:rPr>
        <w:tab/>
      </w:r>
      <w:r w:rsidR="00174612" w:rsidRPr="00713215">
        <w:rPr>
          <w:rFonts w:ascii="Verdana" w:hAnsi="Verdana" w:cstheme="minorHAnsi"/>
          <w:b w:val="0"/>
          <w:sz w:val="18"/>
          <w:szCs w:val="18"/>
          <w:highlight w:val="green"/>
        </w:rPr>
        <w:tab/>
      </w:r>
      <w:r w:rsidR="000770E5" w:rsidRPr="00713215">
        <w:rPr>
          <w:rFonts w:ascii="Verdana" w:hAnsi="Verdana" w:cstheme="minorHAnsi"/>
          <w:b w:val="0"/>
          <w:sz w:val="18"/>
          <w:szCs w:val="18"/>
          <w:highlight w:val="green"/>
        </w:rPr>
        <w:tab/>
      </w:r>
      <w:r w:rsidR="000770E5" w:rsidRPr="00713215">
        <w:rPr>
          <w:rFonts w:ascii="Verdana" w:hAnsi="Verdana" w:cstheme="minorHAnsi"/>
          <w:b w:val="0"/>
          <w:sz w:val="18"/>
          <w:szCs w:val="18"/>
          <w:highlight w:val="green"/>
        </w:rPr>
        <w:tab/>
      </w:r>
      <w:r w:rsidR="002507FA" w:rsidRPr="00713215">
        <w:rPr>
          <w:rFonts w:ascii="Verdana" w:hAnsi="Verdana" w:cstheme="minorHAnsi"/>
          <w:b w:val="0"/>
          <w:sz w:val="18"/>
          <w:szCs w:val="18"/>
          <w:highlight w:val="green"/>
        </w:rPr>
        <w:tab/>
      </w:r>
      <w:r w:rsidR="00174612" w:rsidRPr="00713215">
        <w:rPr>
          <w:rFonts w:ascii="Verdana" w:hAnsi="Verdana" w:cstheme="minorHAnsi"/>
          <w:b w:val="0"/>
          <w:sz w:val="18"/>
          <w:szCs w:val="18"/>
          <w:highlight w:val="green"/>
        </w:rPr>
        <w:t>V………………</w:t>
      </w:r>
      <w:r w:rsidR="000770E5" w:rsidRPr="00713215">
        <w:rPr>
          <w:rFonts w:ascii="Verdana" w:hAnsi="Verdana" w:cstheme="minorHAnsi"/>
          <w:b w:val="0"/>
          <w:sz w:val="18"/>
          <w:szCs w:val="18"/>
          <w:highlight w:val="green"/>
        </w:rPr>
        <w:t>…</w:t>
      </w:r>
      <w:r w:rsidR="002507FA" w:rsidRPr="00713215">
        <w:rPr>
          <w:rFonts w:ascii="Verdana" w:hAnsi="Verdana" w:cstheme="minorHAnsi"/>
          <w:b w:val="0"/>
          <w:sz w:val="18"/>
          <w:szCs w:val="18"/>
          <w:highlight w:val="green"/>
        </w:rPr>
        <w:t xml:space="preserve"> </w:t>
      </w:r>
      <w:proofErr w:type="gramStart"/>
      <w:r w:rsidR="002507FA" w:rsidRPr="00713215">
        <w:rPr>
          <w:rFonts w:ascii="Verdana" w:hAnsi="Verdana" w:cstheme="minorHAnsi"/>
          <w:b w:val="0"/>
          <w:sz w:val="18"/>
          <w:szCs w:val="18"/>
          <w:highlight w:val="green"/>
        </w:rPr>
        <w:t>dne:…</w:t>
      </w:r>
      <w:proofErr w:type="gramEnd"/>
      <w:r w:rsidR="002507FA" w:rsidRPr="00713215">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0B54599E" w14:textId="77777777" w:rsidR="003533C6" w:rsidRDefault="003533C6" w:rsidP="00365C2F">
      <w:pPr>
        <w:pStyle w:val="RLProhlensmluvnchstran"/>
        <w:jc w:val="left"/>
        <w:rPr>
          <w:rFonts w:ascii="Verdana" w:hAnsi="Verdana" w:cstheme="minorHAnsi"/>
        </w:rPr>
      </w:pPr>
      <w:bookmarkStart w:id="0" w:name="_GoBack"/>
      <w:bookmarkEnd w:id="0"/>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56297089" w:rsidR="0026354E" w:rsidRPr="00AC4F03" w:rsidRDefault="001B0FA8"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6</w:t>
            </w:r>
          </w:p>
        </w:tc>
        <w:tc>
          <w:tcPr>
            <w:tcW w:w="3356" w:type="dxa"/>
            <w:tcBorders>
              <w:top w:val="single" w:sz="12" w:space="0" w:color="auto"/>
              <w:left w:val="single" w:sz="12" w:space="0" w:color="auto"/>
              <w:bottom w:val="single" w:sz="12" w:space="0" w:color="auto"/>
              <w:right w:val="single" w:sz="12" w:space="0" w:color="auto"/>
            </w:tcBorders>
          </w:tcPr>
          <w:p w14:paraId="047BD841" w14:textId="34AA10F6" w:rsidR="0026354E" w:rsidRPr="00AC4F03" w:rsidRDefault="0006714F" w:rsidP="00C53135">
            <w:pPr>
              <w:autoSpaceDE w:val="0"/>
              <w:autoSpaceDN w:val="0"/>
              <w:adjustRightInd w:val="0"/>
              <w:spacing w:after="0" w:line="240" w:lineRule="auto"/>
              <w:jc w:val="center"/>
              <w:rPr>
                <w:rFonts w:ascii="Verdana" w:eastAsiaTheme="minorHAnsi" w:hAnsi="Verdana" w:cs="Calibri"/>
                <w:color w:val="000000"/>
                <w:sz w:val="18"/>
                <w:szCs w:val="18"/>
              </w:rPr>
            </w:pPr>
            <w:r w:rsidRPr="0006714F">
              <w:rPr>
                <w:rFonts w:ascii="Verdana" w:eastAsiaTheme="minorHAnsi" w:hAnsi="Verdana" w:cs="Calibri"/>
                <w:color w:val="000000"/>
                <w:sz w:val="18"/>
                <w:szCs w:val="18"/>
              </w:rPr>
              <w:t>ST Most</w:t>
            </w:r>
            <w:r w:rsidR="001B0FA8">
              <w:rPr>
                <w:rFonts w:ascii="Verdana" w:eastAsiaTheme="minorHAnsi" w:hAnsi="Verdana" w:cs="Calibri"/>
                <w:color w:val="000000"/>
                <w:sz w:val="18"/>
                <w:szCs w:val="18"/>
              </w:rPr>
              <w:t xml:space="preserve"> 3</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365C2F"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365C2F"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64EDB4B" w:rsidR="00DE3792" w:rsidRPr="008512E5" w:rsidRDefault="008512E5" w:rsidP="008512E5">
    <w:pPr>
      <w:pStyle w:val="Zhlav"/>
      <w:jc w:val="right"/>
      <w:rPr>
        <w:rFonts w:ascii="Verdana" w:hAnsi="Verdana"/>
      </w:rPr>
    </w:pPr>
    <w:r w:rsidRPr="008512E5">
      <w:rPr>
        <w:rFonts w:ascii="Verdana" w:hAnsi="Verdana"/>
      </w:rPr>
      <w:t xml:space="preserve">Č.j.: </w:t>
    </w:r>
    <w:r w:rsidR="001A5BF9" w:rsidRPr="001A5BF9">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5BF9"/>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65C2F"/>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3215"/>
    <w:rsid w:val="00714260"/>
    <w:rsid w:val="00715B23"/>
    <w:rsid w:val="00715EC9"/>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F4A10D-54A5-4F03-8DBC-4FB14139B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4803</Words>
  <Characters>28343</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