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024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8BD53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57F23B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8974D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558F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80C15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86BC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0C21B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875C54A" w14:textId="6919BFB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806BA">
        <w:rPr>
          <w:rFonts w:ascii="Verdana" w:hAnsi="Verdana"/>
          <w:sz w:val="18"/>
          <w:szCs w:val="18"/>
        </w:rPr>
        <w:t>„</w:t>
      </w:r>
      <w:r w:rsidR="00873F26" w:rsidRPr="00873F26">
        <w:rPr>
          <w:rFonts w:ascii="Verdana" w:hAnsi="Verdana"/>
          <w:b/>
          <w:bCs/>
          <w:sz w:val="18"/>
          <w:szCs w:val="18"/>
          <w:lang w:val="en-US"/>
        </w:rPr>
        <w:t>Dohled nad EZS u technol. objektů v obvodu OŘ Praha</w:t>
      </w:r>
      <w:r w:rsidR="000E5AB8">
        <w:rPr>
          <w:rFonts w:ascii="Verdana" w:hAnsi="Verdana"/>
          <w:b/>
          <w:bCs/>
          <w:sz w:val="18"/>
          <w:szCs w:val="18"/>
          <w:lang w:val="en-US"/>
        </w:rPr>
        <w:t xml:space="preserve"> 2023 - 2027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91E8BF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6B1B" w14:textId="77777777" w:rsidR="00FA6E91" w:rsidRDefault="00FA6E91">
      <w:r>
        <w:separator/>
      </w:r>
    </w:p>
  </w:endnote>
  <w:endnote w:type="continuationSeparator" w:id="0">
    <w:p w14:paraId="3CEA721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172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93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61FBA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78C2" w14:textId="10E819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5AB8" w:rsidRPr="000E5A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3629" w14:textId="77777777" w:rsidR="00FA6E91" w:rsidRDefault="00FA6E91">
      <w:r>
        <w:separator/>
      </w:r>
    </w:p>
  </w:footnote>
  <w:footnote w:type="continuationSeparator" w:id="0">
    <w:p w14:paraId="3470382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5FE1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22A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882E4E9" w14:textId="77777777" w:rsidTr="0045048D">
      <w:trPr>
        <w:trHeight w:val="925"/>
      </w:trPr>
      <w:tc>
        <w:tcPr>
          <w:tcW w:w="5041" w:type="dxa"/>
          <w:vAlign w:val="center"/>
        </w:tcPr>
        <w:p w14:paraId="017C4F4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8FAE5A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C4950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391B96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948A7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AB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F2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D1F26D8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2018-11-26T13:17:00Z</dcterms:created>
  <dcterms:modified xsi:type="dcterms:W3CDTF">2023-09-15T10:35:00Z</dcterms:modified>
</cp:coreProperties>
</file>