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90EFC2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D098B">
        <w:rPr>
          <w:b/>
          <w:color w:val="FF5200" w:themeColor="accent2"/>
          <w:sz w:val="36"/>
          <w:szCs w:val="36"/>
        </w:rPr>
        <w:t>Krycí list nabídky</w:t>
      </w:r>
      <w:r w:rsidR="0031280B" w:rsidRPr="00CD098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D098B" w:rsidRPr="00CD098B">
        <w:rPr>
          <w:b/>
          <w:color w:val="FF5200" w:themeColor="accent2"/>
          <w:sz w:val="36"/>
          <w:szCs w:val="36"/>
        </w:rPr>
        <w:t xml:space="preserve">Dodávky </w:t>
      </w:r>
      <w:r w:rsidR="00C353A4">
        <w:rPr>
          <w:b/>
          <w:color w:val="FF5200" w:themeColor="accent2"/>
          <w:sz w:val="36"/>
          <w:szCs w:val="36"/>
        </w:rPr>
        <w:t>pracovních oděvů letních</w:t>
      </w:r>
      <w:r w:rsidR="00CD098B" w:rsidRPr="00CD098B">
        <w:rPr>
          <w:b/>
          <w:color w:val="FF5200" w:themeColor="accent2"/>
          <w:sz w:val="36"/>
          <w:szCs w:val="36"/>
        </w:rPr>
        <w:t xml:space="preserve"> - 2023</w:t>
      </w:r>
      <w:r w:rsidR="0031280B" w:rsidRPr="00CD098B">
        <w:rPr>
          <w:b/>
          <w:color w:val="FF5200" w:themeColor="accent2"/>
          <w:sz w:val="36"/>
          <w:szCs w:val="36"/>
        </w:rPr>
        <w:t>“</w:t>
      </w:r>
      <w:r w:rsidR="000128D4" w:rsidRPr="00CD098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353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27131</w:t>
      </w:r>
      <w:r w:rsidR="00CD098B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2B896E87" w14:textId="36078C48" w:rsidR="005F11D6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2469656" w:history="1">
            <w:r w:rsidR="005F11D6" w:rsidRPr="00532CC5">
              <w:rPr>
                <w:rStyle w:val="Hypertextovodkaz"/>
                <w:noProof/>
              </w:rPr>
              <w:t>Kapitola 1.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Základní údaje k nabídce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_Toc142469656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 w:rsidR="00C01865">
              <w:rPr>
                <w:noProof/>
                <w:webHidden/>
              </w:rPr>
              <w:t>2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52620869" w14:textId="36717306" w:rsidR="005F11D6" w:rsidRDefault="00C0186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469657" w:history="1">
            <w:r w:rsidR="005F11D6" w:rsidRPr="00532CC5">
              <w:rPr>
                <w:rStyle w:val="Hypertextovodkaz"/>
                <w:noProof/>
              </w:rPr>
              <w:t>Kapitola 2.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Čestné prohlášení o splnění základní způsobilosti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_Toc142469657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15E98D0C" w14:textId="483E9436" w:rsidR="005F11D6" w:rsidRDefault="00C0186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469658" w:history="1">
            <w:r w:rsidR="005F11D6" w:rsidRPr="00532CC5">
              <w:rPr>
                <w:rStyle w:val="Hypertextovodkaz"/>
                <w:noProof/>
              </w:rPr>
              <w:t>Kapitola 3.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Čestné prohlášení účastníka o střetu zájmů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_Toc142469658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3BD4C43A" w14:textId="668CD3AC" w:rsidR="005F11D6" w:rsidRDefault="00C0186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469659" w:history="1">
            <w:r w:rsidR="005F11D6" w:rsidRPr="00532CC5">
              <w:rPr>
                <w:rStyle w:val="Hypertextovodkaz"/>
                <w:noProof/>
              </w:rPr>
              <w:t>Kapitola 4.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Čestné prohlášení účastníka k neuzavření zakázaných dohod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_Toc142469659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6C78A7C1" w14:textId="21955AA6" w:rsidR="005F11D6" w:rsidRDefault="00C0186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469660" w:history="1">
            <w:r w:rsidR="005F11D6" w:rsidRPr="00532CC5">
              <w:rPr>
                <w:rStyle w:val="Hypertextovodkaz"/>
                <w:rFonts w:eastAsia="Times New Roman"/>
                <w:noProof/>
              </w:rPr>
              <w:t>Kapitola 5.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Čestné</w:t>
            </w:r>
            <w:r w:rsidR="005F11D6" w:rsidRPr="00532CC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_Toc142469660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6BC88A47" w14:textId="551F06E5" w:rsidR="005F11D6" w:rsidRDefault="00C0186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469661" w:history="1">
            <w:r w:rsidR="005F11D6" w:rsidRPr="00532CC5">
              <w:rPr>
                <w:rStyle w:val="Hypertextovodkaz"/>
                <w:noProof/>
              </w:rPr>
              <w:t>Kapitola 6.</w:t>
            </w:r>
            <w:r w:rsidR="005F11D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11D6" w:rsidRPr="00532CC5">
              <w:rPr>
                <w:rStyle w:val="Hypertextovodkaz"/>
                <w:noProof/>
              </w:rPr>
              <w:t>Čestné prohlášení účastníka ohledně pracovních podmínek</w:t>
            </w:r>
            <w:r w:rsidR="005F11D6">
              <w:rPr>
                <w:noProof/>
                <w:webHidden/>
              </w:rPr>
              <w:tab/>
            </w:r>
            <w:r w:rsidR="005F11D6">
              <w:rPr>
                <w:noProof/>
                <w:webHidden/>
              </w:rPr>
              <w:fldChar w:fldCharType="begin"/>
            </w:r>
            <w:r w:rsidR="005F11D6">
              <w:rPr>
                <w:noProof/>
                <w:webHidden/>
              </w:rPr>
              <w:instrText xml:space="preserve"> PAGEREF _Toc142469661 \h </w:instrText>
            </w:r>
            <w:r w:rsidR="005F11D6">
              <w:rPr>
                <w:noProof/>
                <w:webHidden/>
              </w:rPr>
            </w:r>
            <w:r w:rsidR="005F11D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F11D6">
              <w:rPr>
                <w:noProof/>
                <w:webHidden/>
              </w:rPr>
              <w:fldChar w:fldCharType="end"/>
            </w:r>
          </w:hyperlink>
        </w:p>
        <w:p w14:paraId="218BAFDF" w14:textId="02B9C36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246965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410DB9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D098B">
        <w:rPr>
          <w:rFonts w:eastAsia="Times New Roman" w:cs="Times New Roman"/>
          <w:lang w:eastAsia="cs-CZ"/>
        </w:rPr>
        <w:t>podlimitní sektorovou veřejnou zakázku</w:t>
      </w:r>
      <w:r w:rsidRPr="00CD098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71E708AA" w14:textId="77777777" w:rsidR="00CD098B" w:rsidRDefault="00CD098B" w:rsidP="00CD098B">
      <w:r w:rsidRPr="006E5C6C">
        <w:rPr>
          <w:b/>
        </w:rPr>
        <w:t>ÚDAJE PRO POTŘEBY HODNOCENÍ</w:t>
      </w:r>
      <w:r>
        <w:t>:</w:t>
      </w:r>
    </w:p>
    <w:p w14:paraId="4744481C" w14:textId="77777777" w:rsidR="00CD098B" w:rsidRDefault="00CD098B" w:rsidP="00CD098B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5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7"/>
        <w:gridCol w:w="832"/>
        <w:gridCol w:w="709"/>
        <w:gridCol w:w="815"/>
        <w:gridCol w:w="1134"/>
        <w:gridCol w:w="992"/>
        <w:gridCol w:w="1123"/>
      </w:tblGrid>
      <w:tr w:rsidR="00D37EB4" w:rsidRPr="008D23D5" w14:paraId="30F9B5C1" w14:textId="77777777" w:rsidTr="00D37EB4">
        <w:trPr>
          <w:trHeight w:val="1373"/>
          <w:jc w:val="center"/>
        </w:trPr>
        <w:tc>
          <w:tcPr>
            <w:tcW w:w="1843" w:type="dxa"/>
            <w:shd w:val="clear" w:color="auto" w:fill="auto"/>
            <w:vAlign w:val="center"/>
            <w:hideMark/>
          </w:tcPr>
          <w:p w14:paraId="2C452C65" w14:textId="77777777" w:rsidR="00D37EB4" w:rsidRPr="006048C7" w:rsidRDefault="00D37EB4" w:rsidP="00CA097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14:paraId="74C4E1C0" w14:textId="77777777" w:rsidR="00D37EB4" w:rsidRPr="006048C7" w:rsidRDefault="00D37EB4" w:rsidP="00CA097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0157265" w14:textId="77777777" w:rsidR="00D37EB4" w:rsidRPr="006048C7" w:rsidRDefault="00D37EB4" w:rsidP="00CA097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D2590C" w14:textId="77777777" w:rsidR="00D37EB4" w:rsidRPr="006048C7" w:rsidRDefault="00D37EB4" w:rsidP="00CA097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4DAED85B" w14:textId="77777777" w:rsidR="00D37EB4" w:rsidRPr="006048C7" w:rsidRDefault="00D37EB4" w:rsidP="00CA097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7AF0156" w14:textId="77777777" w:rsidR="00D37EB4" w:rsidRPr="006048C7" w:rsidRDefault="00D37EB4" w:rsidP="00CA097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317C3" w14:textId="77777777" w:rsidR="00D37EB4" w:rsidRPr="006048C7" w:rsidRDefault="00D37EB4" w:rsidP="00CA097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0434D50" w14:textId="77777777" w:rsidR="00D37EB4" w:rsidRPr="006048C7" w:rsidRDefault="00D37EB4" w:rsidP="00CA097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D37EB4" w:rsidRPr="001F33F5" w14:paraId="12B53612" w14:textId="77777777" w:rsidTr="00D37EB4">
        <w:trPr>
          <w:trHeight w:val="495"/>
          <w:jc w:val="center"/>
        </w:trPr>
        <w:tc>
          <w:tcPr>
            <w:tcW w:w="1843" w:type="dxa"/>
            <w:shd w:val="clear" w:color="auto" w:fill="auto"/>
            <w:vAlign w:val="center"/>
            <w:hideMark/>
          </w:tcPr>
          <w:p w14:paraId="76BE6FB9" w14:textId="261C2BA3" w:rsidR="00D37EB4" w:rsidRPr="004A6709" w:rsidRDefault="00C353A4" w:rsidP="00CA0977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Blůza pracovní modrá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02D106CB" w14:textId="5BAA6FBC" w:rsidR="00D37EB4" w:rsidRPr="00DA1B39" w:rsidRDefault="00C353A4" w:rsidP="00CA0977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DA1B3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5700</w:t>
            </w:r>
          </w:p>
        </w:tc>
        <w:tc>
          <w:tcPr>
            <w:tcW w:w="832" w:type="dxa"/>
            <w:shd w:val="clear" w:color="auto" w:fill="auto"/>
          </w:tcPr>
          <w:p w14:paraId="27FE5385" w14:textId="77777777" w:rsidR="00D37EB4" w:rsidRPr="004A6709" w:rsidRDefault="00D37EB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62D6CA84" w14:textId="77777777" w:rsidR="00D37EB4" w:rsidRPr="004A6709" w:rsidRDefault="00D37EB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5241972" w14:textId="77777777" w:rsidR="00D37EB4" w:rsidRPr="004A6709" w:rsidRDefault="00D37EB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34F10F0B" w14:textId="77777777" w:rsidR="00D37EB4" w:rsidRPr="004A6709" w:rsidRDefault="00D37EB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EDAF0AA" w14:textId="77777777" w:rsidR="00D37EB4" w:rsidRPr="004A6709" w:rsidRDefault="00D37EB4" w:rsidP="00CA0977"/>
        </w:tc>
        <w:tc>
          <w:tcPr>
            <w:tcW w:w="1123" w:type="dxa"/>
            <w:shd w:val="clear" w:color="auto" w:fill="auto"/>
          </w:tcPr>
          <w:p w14:paraId="504F712A" w14:textId="77777777" w:rsidR="00D37EB4" w:rsidRPr="004A6709" w:rsidRDefault="00D37EB4" w:rsidP="00CA0977"/>
        </w:tc>
      </w:tr>
      <w:tr w:rsidR="00C353A4" w:rsidRPr="001F33F5" w14:paraId="2B936742" w14:textId="77777777" w:rsidTr="00D37EB4">
        <w:trPr>
          <w:trHeight w:val="49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9DB49B6" w14:textId="4A7389D6" w:rsidR="00C353A4" w:rsidRDefault="00C353A4" w:rsidP="00CA0977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pracovní modré do pasu letní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6CA7D176" w14:textId="48670E22" w:rsidR="00C353A4" w:rsidRPr="00DA1B39" w:rsidRDefault="00C353A4" w:rsidP="00CA0977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DA1B3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5200</w:t>
            </w:r>
          </w:p>
        </w:tc>
        <w:tc>
          <w:tcPr>
            <w:tcW w:w="832" w:type="dxa"/>
            <w:shd w:val="clear" w:color="auto" w:fill="auto"/>
          </w:tcPr>
          <w:p w14:paraId="7D1B8FED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256D853D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59D3EA9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2C79E0DE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AB467B5" w14:textId="77777777" w:rsidR="00C353A4" w:rsidRPr="004A6709" w:rsidRDefault="00C353A4" w:rsidP="00CA0977"/>
        </w:tc>
        <w:tc>
          <w:tcPr>
            <w:tcW w:w="1123" w:type="dxa"/>
            <w:shd w:val="clear" w:color="auto" w:fill="auto"/>
          </w:tcPr>
          <w:p w14:paraId="55FB7A65" w14:textId="77777777" w:rsidR="00C353A4" w:rsidRPr="004A6709" w:rsidRDefault="00C353A4" w:rsidP="00CA0977"/>
        </w:tc>
      </w:tr>
      <w:tr w:rsidR="00C353A4" w:rsidRPr="001F33F5" w14:paraId="3960B3A6" w14:textId="77777777" w:rsidTr="00D37EB4">
        <w:trPr>
          <w:trHeight w:val="495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2DFC1B6" w14:textId="6E8E9BE0" w:rsidR="00C353A4" w:rsidRDefault="00C353A4" w:rsidP="00CA0977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pracovní modré s laclem letní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4D17286D" w14:textId="10F4A735" w:rsidR="00C353A4" w:rsidRPr="00DA1B39" w:rsidRDefault="00C353A4" w:rsidP="00CA0977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DA1B3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480</w:t>
            </w:r>
          </w:p>
        </w:tc>
        <w:tc>
          <w:tcPr>
            <w:tcW w:w="832" w:type="dxa"/>
            <w:shd w:val="clear" w:color="auto" w:fill="auto"/>
          </w:tcPr>
          <w:p w14:paraId="0C76B81D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4181F432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181FCD4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62CD229C" w14:textId="77777777" w:rsidR="00C353A4" w:rsidRPr="004A6709" w:rsidRDefault="00C353A4" w:rsidP="00CA0977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2B5B374" w14:textId="77777777" w:rsidR="00C353A4" w:rsidRPr="004A6709" w:rsidRDefault="00C353A4" w:rsidP="00CA0977"/>
        </w:tc>
        <w:tc>
          <w:tcPr>
            <w:tcW w:w="1123" w:type="dxa"/>
            <w:shd w:val="clear" w:color="auto" w:fill="auto"/>
          </w:tcPr>
          <w:p w14:paraId="3FB261DA" w14:textId="77777777" w:rsidR="00C353A4" w:rsidRPr="004A6709" w:rsidRDefault="00C353A4" w:rsidP="00CA0977"/>
        </w:tc>
      </w:tr>
      <w:tr w:rsidR="00D37EB4" w14:paraId="14C86EC4" w14:textId="77777777" w:rsidTr="00D37EB4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843" w:type="dxa"/>
            <w:shd w:val="clear" w:color="auto" w:fill="D0CECE" w:themeFill="background2" w:themeFillShade="E6"/>
          </w:tcPr>
          <w:p w14:paraId="4CE813E6" w14:textId="77777777" w:rsidR="00D37EB4" w:rsidRPr="005C145F" w:rsidRDefault="00D37EB4" w:rsidP="00CA0977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413" w:type="dxa"/>
            <w:gridSpan w:val="4"/>
            <w:shd w:val="clear" w:color="auto" w:fill="auto"/>
          </w:tcPr>
          <w:p w14:paraId="7E5043B4" w14:textId="77777777" w:rsidR="00D37EB4" w:rsidRPr="004A6709" w:rsidRDefault="00D37EB4" w:rsidP="00CA0977"/>
        </w:tc>
        <w:tc>
          <w:tcPr>
            <w:tcW w:w="1134" w:type="dxa"/>
            <w:shd w:val="clear" w:color="auto" w:fill="D0CECE" w:themeFill="background2" w:themeFillShade="E6"/>
          </w:tcPr>
          <w:p w14:paraId="684258D5" w14:textId="77777777" w:rsidR="00D37EB4" w:rsidRPr="004A6709" w:rsidRDefault="00D37EB4" w:rsidP="00CA0977"/>
        </w:tc>
        <w:tc>
          <w:tcPr>
            <w:tcW w:w="992" w:type="dxa"/>
            <w:shd w:val="clear" w:color="auto" w:fill="auto"/>
          </w:tcPr>
          <w:p w14:paraId="5456DABD" w14:textId="77777777" w:rsidR="00D37EB4" w:rsidRPr="004A6709" w:rsidRDefault="00D37EB4" w:rsidP="00CA0977"/>
        </w:tc>
        <w:tc>
          <w:tcPr>
            <w:tcW w:w="1123" w:type="dxa"/>
            <w:shd w:val="clear" w:color="auto" w:fill="auto"/>
          </w:tcPr>
          <w:p w14:paraId="23126C10" w14:textId="77777777" w:rsidR="00D37EB4" w:rsidRPr="004A6709" w:rsidRDefault="00D37EB4" w:rsidP="00CA0977"/>
        </w:tc>
      </w:tr>
    </w:tbl>
    <w:p w14:paraId="65A3605B" w14:textId="47B4613E" w:rsidR="007C48A8" w:rsidRDefault="007C48A8" w:rsidP="008B1A2C">
      <w:pPr>
        <w:rPr>
          <w:b/>
        </w:rPr>
      </w:pPr>
    </w:p>
    <w:p w14:paraId="6E036DB9" w14:textId="285041A8" w:rsidR="007C48A8" w:rsidRDefault="007C48A8" w:rsidP="008B1A2C">
      <w:pPr>
        <w:rPr>
          <w:b/>
        </w:rPr>
      </w:pPr>
    </w:p>
    <w:p w14:paraId="29F38D9E" w14:textId="7F8CBA17" w:rsidR="00371105" w:rsidRDefault="00371105" w:rsidP="008B1A2C">
      <w:pPr>
        <w:rPr>
          <w:b/>
        </w:rPr>
      </w:pPr>
      <w:bookmarkStart w:id="1" w:name="_GoBack"/>
      <w:bookmarkEnd w:id="1"/>
    </w:p>
    <w:p w14:paraId="54CC0070" w14:textId="31399ABC" w:rsidR="00371105" w:rsidRDefault="00371105" w:rsidP="008B1A2C">
      <w:pPr>
        <w:rPr>
          <w:b/>
        </w:rPr>
      </w:pPr>
    </w:p>
    <w:p w14:paraId="09F1F42B" w14:textId="2230CF3E" w:rsidR="00371105" w:rsidRDefault="00371105" w:rsidP="008B1A2C">
      <w:pPr>
        <w:rPr>
          <w:b/>
        </w:rPr>
      </w:pPr>
    </w:p>
    <w:p w14:paraId="458B4B26" w14:textId="0BCED18A" w:rsidR="00371105" w:rsidRDefault="00371105" w:rsidP="008B1A2C">
      <w:pPr>
        <w:rPr>
          <w:b/>
        </w:rPr>
      </w:pPr>
    </w:p>
    <w:p w14:paraId="184961B8" w14:textId="5236875D" w:rsidR="00371105" w:rsidRDefault="00371105" w:rsidP="008B1A2C">
      <w:pPr>
        <w:rPr>
          <w:b/>
        </w:rPr>
      </w:pPr>
    </w:p>
    <w:p w14:paraId="10F3EB7B" w14:textId="789D8859" w:rsidR="00371105" w:rsidRDefault="00371105" w:rsidP="008B1A2C">
      <w:pPr>
        <w:rPr>
          <w:b/>
        </w:rPr>
      </w:pPr>
    </w:p>
    <w:p w14:paraId="4E84C727" w14:textId="77777777" w:rsidR="00371105" w:rsidRDefault="00371105" w:rsidP="008B1A2C">
      <w:pPr>
        <w:rPr>
          <w:b/>
        </w:rPr>
      </w:pPr>
    </w:p>
    <w:p w14:paraId="2915FC32" w14:textId="7885F4B4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0186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0186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2469657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3BF0B7E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D9596E">
        <w:rPr>
          <w:szCs w:val="22"/>
          <w:lang w:eastAsia="cs-CZ"/>
        </w:rPr>
        <w:t xml:space="preserve"> (</w:t>
      </w:r>
      <w:r w:rsidR="00D9596E">
        <w:rPr>
          <w:lang w:eastAsia="cs-CZ"/>
        </w:rPr>
        <w:t>Výše uvedené podmínky splňuje jak Účastník (coby právnická osoba), tak každý člen jeho statutárního orgánu.)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50A6AA1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246965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815C3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246965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246966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2A92CA1" w14:textId="77777777" w:rsidR="00613D83" w:rsidRDefault="00613D83" w:rsidP="00613D83">
      <w:pPr>
        <w:pStyle w:val="Nadpis2"/>
        <w:numPr>
          <w:ilvl w:val="0"/>
          <w:numId w:val="34"/>
        </w:numPr>
      </w:pPr>
      <w:bookmarkStart w:id="6" w:name="_Toc92708950"/>
      <w:bookmarkStart w:id="7" w:name="_Toc142469661"/>
      <w:r>
        <w:lastRenderedPageBreak/>
        <w:t>Čestné prohlášení účastníka ohledně pracovních podmínek</w:t>
      </w:r>
      <w:bookmarkEnd w:id="6"/>
      <w:bookmarkEnd w:id="7"/>
    </w:p>
    <w:p w14:paraId="0F21F80E" w14:textId="77777777" w:rsidR="00613D83" w:rsidRDefault="00613D83" w:rsidP="00613D83">
      <w:pPr>
        <w:spacing w:line="240" w:lineRule="auto"/>
        <w:rPr>
          <w:rFonts w:ascii="Verdana" w:hAnsi="Verdana"/>
          <w:lang w:eastAsia="cs-CZ"/>
        </w:rPr>
      </w:pPr>
    </w:p>
    <w:p w14:paraId="2535E337" w14:textId="77777777" w:rsidR="00613D83" w:rsidRPr="001802BB" w:rsidRDefault="00613D83" w:rsidP="00613D83">
      <w:pPr>
        <w:spacing w:line="240" w:lineRule="auto"/>
      </w:pPr>
      <w:r w:rsidRPr="001802BB">
        <w:t xml:space="preserve">Účastník, který podává tuto nabídku, tímto čestně prohlašuje, že v souvislosti se zadávanou veřejnou zakázkou nedochází při plnění veřejné zakázky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  </w:t>
      </w:r>
    </w:p>
    <w:p w14:paraId="1F5A7C51" w14:textId="77777777" w:rsidR="00613D83" w:rsidRPr="001802BB" w:rsidRDefault="00613D83" w:rsidP="00613D83">
      <w:pPr>
        <w:spacing w:line="240" w:lineRule="auto"/>
      </w:pPr>
      <w:r w:rsidRPr="001802BB"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24E0162B" w14:textId="77777777" w:rsidR="00815C3B" w:rsidRDefault="00815C3B" w:rsidP="00A134A1">
      <w:pPr>
        <w:spacing w:before="1200"/>
        <w:rPr>
          <w:lang w:eastAsia="cs-CZ"/>
        </w:rPr>
      </w:pPr>
    </w:p>
    <w:p w14:paraId="1B8C0FE3" w14:textId="77777777" w:rsidR="00815C3B" w:rsidRDefault="00815C3B" w:rsidP="00A134A1">
      <w:pPr>
        <w:spacing w:before="1200"/>
        <w:rPr>
          <w:lang w:eastAsia="cs-CZ"/>
        </w:rPr>
      </w:pPr>
    </w:p>
    <w:p w14:paraId="26B6CAAF" w14:textId="77777777" w:rsidR="00815C3B" w:rsidRDefault="00815C3B" w:rsidP="00A134A1">
      <w:pPr>
        <w:spacing w:before="1200"/>
        <w:rPr>
          <w:lang w:eastAsia="cs-CZ"/>
        </w:rPr>
      </w:pPr>
    </w:p>
    <w:p w14:paraId="53A4B6BB" w14:textId="77777777" w:rsidR="00815C3B" w:rsidRDefault="00815C3B" w:rsidP="00A134A1">
      <w:pPr>
        <w:spacing w:before="1200"/>
        <w:rPr>
          <w:lang w:eastAsia="cs-CZ"/>
        </w:rPr>
      </w:pPr>
    </w:p>
    <w:p w14:paraId="1C66943D" w14:textId="77777777" w:rsidR="00815C3B" w:rsidRDefault="00815C3B" w:rsidP="00A134A1">
      <w:pPr>
        <w:spacing w:before="1200"/>
        <w:rPr>
          <w:lang w:eastAsia="cs-CZ"/>
        </w:rPr>
      </w:pPr>
    </w:p>
    <w:p w14:paraId="28055D43" w14:textId="77777777" w:rsidR="00815C3B" w:rsidRDefault="00815C3B" w:rsidP="00A134A1">
      <w:pPr>
        <w:spacing w:before="1200"/>
        <w:rPr>
          <w:lang w:eastAsia="cs-CZ"/>
        </w:rPr>
      </w:pPr>
    </w:p>
    <w:p w14:paraId="1ACB6A07" w14:textId="77777777" w:rsidR="00815C3B" w:rsidRDefault="00815C3B" w:rsidP="00A134A1">
      <w:pPr>
        <w:spacing w:before="1200"/>
        <w:rPr>
          <w:lang w:eastAsia="cs-CZ"/>
        </w:rPr>
      </w:pPr>
    </w:p>
    <w:p w14:paraId="5C9DAE4C" w14:textId="77777777" w:rsidR="009232AC" w:rsidRDefault="009232AC" w:rsidP="00A134A1">
      <w:pPr>
        <w:spacing w:before="1200"/>
        <w:rPr>
          <w:lang w:eastAsia="cs-CZ"/>
        </w:rPr>
      </w:pPr>
    </w:p>
    <w:p w14:paraId="01B63800" w14:textId="77777777" w:rsidR="009232AC" w:rsidRDefault="009232AC" w:rsidP="00A134A1">
      <w:pPr>
        <w:spacing w:before="1200"/>
        <w:rPr>
          <w:lang w:eastAsia="cs-CZ"/>
        </w:rPr>
      </w:pPr>
    </w:p>
    <w:p w14:paraId="7AC34174" w14:textId="77777777" w:rsidR="009232AC" w:rsidRDefault="009232AC" w:rsidP="00A134A1">
      <w:pPr>
        <w:spacing w:before="1200"/>
        <w:rPr>
          <w:lang w:eastAsia="cs-CZ"/>
        </w:rPr>
      </w:pPr>
    </w:p>
    <w:p w14:paraId="01314256" w14:textId="77777777" w:rsidR="009232AC" w:rsidRDefault="009232AC" w:rsidP="00A134A1">
      <w:pPr>
        <w:spacing w:before="1200"/>
        <w:rPr>
          <w:lang w:eastAsia="cs-CZ"/>
        </w:rPr>
      </w:pPr>
    </w:p>
    <w:p w14:paraId="4CE7BFF4" w14:textId="77777777" w:rsidR="009232AC" w:rsidRDefault="009232AC" w:rsidP="00A134A1">
      <w:pPr>
        <w:spacing w:before="1200"/>
        <w:rPr>
          <w:lang w:eastAsia="cs-CZ"/>
        </w:rPr>
      </w:pPr>
    </w:p>
    <w:p w14:paraId="4DF76BA5" w14:textId="77777777" w:rsidR="009232AC" w:rsidRDefault="009232AC" w:rsidP="00A134A1">
      <w:pPr>
        <w:spacing w:before="1200"/>
        <w:rPr>
          <w:lang w:eastAsia="cs-CZ"/>
        </w:rPr>
      </w:pPr>
    </w:p>
    <w:p w14:paraId="455A8C7F" w14:textId="77777777" w:rsidR="009232AC" w:rsidRDefault="009232AC" w:rsidP="00A134A1">
      <w:pPr>
        <w:spacing w:before="1200"/>
        <w:rPr>
          <w:lang w:eastAsia="cs-CZ"/>
        </w:rPr>
      </w:pPr>
    </w:p>
    <w:p w14:paraId="721137F5" w14:textId="77777777" w:rsidR="009232AC" w:rsidRDefault="009232AC" w:rsidP="00A134A1">
      <w:pPr>
        <w:spacing w:before="1200"/>
        <w:rPr>
          <w:lang w:eastAsia="cs-CZ"/>
        </w:rPr>
      </w:pPr>
    </w:p>
    <w:p w14:paraId="0B34B067" w14:textId="3DCCBA3B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AFBA5" w14:textId="77777777" w:rsidR="00A836C5" w:rsidRDefault="00A836C5" w:rsidP="00962258">
      <w:pPr>
        <w:spacing w:after="0" w:line="240" w:lineRule="auto"/>
      </w:pPr>
      <w:r>
        <w:separator/>
      </w:r>
    </w:p>
  </w:endnote>
  <w:endnote w:type="continuationSeparator" w:id="0">
    <w:p w14:paraId="76BDCD1F" w14:textId="77777777" w:rsidR="00A836C5" w:rsidRDefault="00A83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0EE5F" w14:textId="77777777" w:rsidR="00A836C5" w:rsidRDefault="00A836C5" w:rsidP="00962258">
      <w:pPr>
        <w:spacing w:after="0" w:line="240" w:lineRule="auto"/>
      </w:pPr>
      <w:r>
        <w:separator/>
      </w:r>
    </w:p>
  </w:footnote>
  <w:footnote w:type="continuationSeparator" w:id="0">
    <w:p w14:paraId="4E9F0A4B" w14:textId="77777777" w:rsidR="00A836C5" w:rsidRDefault="00A836C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5AD2B55" w:rsidR="00A327CB" w:rsidRPr="00D6163D" w:rsidRDefault="00C800C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2F641739" wp14:editId="4E129C26">
          <wp:simplePos x="0" y="0"/>
          <wp:positionH relativeFrom="page">
            <wp:posOffset>409575</wp:posOffset>
          </wp:positionH>
          <wp:positionV relativeFrom="page">
            <wp:posOffset>308610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7FA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25F46D9C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3"/>
  </w:num>
  <w:num w:numId="36">
    <w:abstractNumId w:val="2"/>
  </w:num>
  <w:num w:numId="37">
    <w:abstractNumId w:val="12"/>
  </w:num>
  <w:num w:numId="38">
    <w:abstractNumId w:val="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02BB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46A3F"/>
    <w:rsid w:val="00280E07"/>
    <w:rsid w:val="00290476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1105"/>
    <w:rsid w:val="003956C6"/>
    <w:rsid w:val="003B596F"/>
    <w:rsid w:val="00441430"/>
    <w:rsid w:val="00450F07"/>
    <w:rsid w:val="00453CD3"/>
    <w:rsid w:val="00460660"/>
    <w:rsid w:val="00485AD2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1D6"/>
    <w:rsid w:val="005F1404"/>
    <w:rsid w:val="0061068E"/>
    <w:rsid w:val="00613242"/>
    <w:rsid w:val="00613D83"/>
    <w:rsid w:val="00626DB3"/>
    <w:rsid w:val="00633D9C"/>
    <w:rsid w:val="00654420"/>
    <w:rsid w:val="00660AD3"/>
    <w:rsid w:val="0067646C"/>
    <w:rsid w:val="0067790F"/>
    <w:rsid w:val="00677B7F"/>
    <w:rsid w:val="0068592E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8A8"/>
    <w:rsid w:val="007C589B"/>
    <w:rsid w:val="007E4A6E"/>
    <w:rsid w:val="007F56A7"/>
    <w:rsid w:val="00807DD0"/>
    <w:rsid w:val="00815C3B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2AC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836C5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1865"/>
    <w:rsid w:val="00C02D0A"/>
    <w:rsid w:val="00C03675"/>
    <w:rsid w:val="00C03A6E"/>
    <w:rsid w:val="00C044EE"/>
    <w:rsid w:val="00C15E30"/>
    <w:rsid w:val="00C228EE"/>
    <w:rsid w:val="00C3428A"/>
    <w:rsid w:val="00C353A4"/>
    <w:rsid w:val="00C44F6A"/>
    <w:rsid w:val="00C47AE3"/>
    <w:rsid w:val="00C636FB"/>
    <w:rsid w:val="00C800CA"/>
    <w:rsid w:val="00C87B78"/>
    <w:rsid w:val="00CD098B"/>
    <w:rsid w:val="00CD1FC4"/>
    <w:rsid w:val="00D21061"/>
    <w:rsid w:val="00D37EB4"/>
    <w:rsid w:val="00D4108E"/>
    <w:rsid w:val="00D6163D"/>
    <w:rsid w:val="00D73D46"/>
    <w:rsid w:val="00D831A3"/>
    <w:rsid w:val="00D9596E"/>
    <w:rsid w:val="00DA1B39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2D3A"/>
    <w:rsid w:val="00F86BA6"/>
    <w:rsid w:val="00FA3A6F"/>
    <w:rsid w:val="00FC4B68"/>
    <w:rsid w:val="00FC5583"/>
    <w:rsid w:val="00FC6389"/>
    <w:rsid w:val="00FD54F3"/>
    <w:rsid w:val="00FF0FB1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Zkladntext2Calibri8pt">
    <w:name w:val="Základní text (2) + Calibri;8 pt"/>
    <w:basedOn w:val="Standardnpsmoodstavce"/>
    <w:rsid w:val="00815C3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  <w:style w:type="character" w:customStyle="1" w:styleId="Zkladntext2Calibri">
    <w:name w:val="Základní text (2) + Calibri"/>
    <w:aliases w:val="8 pt"/>
    <w:basedOn w:val="Standardnpsmoodstavce"/>
    <w:rsid w:val="00613D8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481283-0AAC-4F1E-A2BE-2EBB725A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9</Pages>
  <Words>1215</Words>
  <Characters>7170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24</cp:revision>
  <cp:lastPrinted>2023-08-10T10:18:00Z</cp:lastPrinted>
  <dcterms:created xsi:type="dcterms:W3CDTF">2023-03-07T09:37:00Z</dcterms:created>
  <dcterms:modified xsi:type="dcterms:W3CDTF">2023-08-10T10:18:00Z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