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D5F28" w14:textId="77777777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7205F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05F7" w:rsidRPr="007205F7">
        <w:rPr>
          <w:rFonts w:asciiTheme="majorHAnsi" w:eastAsia="Times New Roman" w:hAnsiTheme="majorHAnsi" w:cs="Times New Roman"/>
          <w:lang w:eastAsia="cs-CZ"/>
        </w:rPr>
        <w:t>1</w:t>
      </w:r>
      <w:r w:rsidR="004C5AF4" w:rsidRPr="007205F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D587D63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2DC5DC09" w14:textId="77777777" w:rsidR="000E00D4" w:rsidRPr="00221465" w:rsidRDefault="000E00D4" w:rsidP="000E00D4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7632207"/>
      <w:bookmarkStart w:id="5" w:name="_Toc517978984"/>
      <w:bookmarkStart w:id="6" w:name="_Toc518251181"/>
      <w:bookmarkStart w:id="7" w:name="_Toc533063757"/>
      <w:bookmarkEnd w:id="0"/>
      <w:bookmarkEnd w:id="1"/>
      <w:bookmarkEnd w:id="2"/>
      <w:bookmarkEnd w:id="3"/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pecifikace hardware</w:t>
      </w:r>
    </w:p>
    <w:p w14:paraId="1A9713A6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30D97AA2" w14:textId="3809A0E8" w:rsidR="000E00D4" w:rsidRDefault="000E00D4" w:rsidP="000E00D4">
      <w:pPr>
        <w:ind w:firstLine="426"/>
      </w:pPr>
      <w:r>
        <w:t>a)</w:t>
      </w:r>
      <w:r>
        <w:tab/>
        <w:t>Servery pro virtualizaci – 4ks</w:t>
      </w:r>
    </w:p>
    <w:p w14:paraId="646EA458" w14:textId="5E2919BF" w:rsidR="000B4A87" w:rsidRDefault="00C569B1" w:rsidP="000E00D4">
      <w:pPr>
        <w:ind w:firstLine="426"/>
      </w:pPr>
      <w:r w:rsidRPr="005A5020">
        <w:rPr>
          <w:highlight w:val="green"/>
          <w:lang w:val="en-US"/>
        </w:rPr>
        <w:t>[</w:t>
      </w:r>
      <w:proofErr w:type="spellStart"/>
      <w:r w:rsidRPr="005A5020">
        <w:rPr>
          <w:highlight w:val="green"/>
          <w:lang w:val="en-US"/>
        </w:rPr>
        <w:t>i</w:t>
      </w:r>
      <w:r w:rsidRPr="005A5020">
        <w:rPr>
          <w:rFonts w:cstheme="minorHAnsi"/>
          <w:b/>
          <w:bCs/>
          <w:highlight w:val="green"/>
        </w:rPr>
        <w:t>dentifikace</w:t>
      </w:r>
      <w:proofErr w:type="spellEnd"/>
      <w:r w:rsidRPr="005A5020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40"/>
        <w:gridCol w:w="3248"/>
      </w:tblGrid>
      <w:tr w:rsidR="009B32C3" w:rsidRPr="0050706D" w14:paraId="550DD99D" w14:textId="77777777" w:rsidTr="00B40A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6AE7F638" w14:textId="77777777" w:rsidR="009B32C3" w:rsidRPr="00E539AF" w:rsidRDefault="009B32C3" w:rsidP="0060320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88" w:type="dxa"/>
            <w:gridSpan w:val="2"/>
            <w:shd w:val="clear" w:color="auto" w:fill="D5DCE4" w:themeFill="text2" w:themeFillTint="33"/>
          </w:tcPr>
          <w:p w14:paraId="5FDDA4F3" w14:textId="77777777" w:rsidR="009B32C3" w:rsidRPr="00E539AF" w:rsidRDefault="009B32C3" w:rsidP="0060320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9B32C3" w:rsidRPr="0050706D" w14:paraId="1AFA283E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6245FD" w14:textId="77777777" w:rsidR="009B32C3" w:rsidRPr="00E539AF" w:rsidRDefault="009B32C3" w:rsidP="0060320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Rozměr - 1U</w:t>
            </w:r>
          </w:p>
        </w:tc>
        <w:tc>
          <w:tcPr>
            <w:tcW w:w="3288" w:type="dxa"/>
            <w:gridSpan w:val="2"/>
          </w:tcPr>
          <w:p w14:paraId="4823A83E" w14:textId="5B9A14B9" w:rsidR="009B32C3" w:rsidRPr="00B40A66" w:rsidRDefault="00B40A66" w:rsidP="000B4A8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B40A66" w:rsidRPr="0050706D" w14:paraId="06FA8645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E6A493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Osazen 2x procesor, výkon dle cpubenchmark.net &gt; 14000, z důvodu licencování přesně osmi jádrový.</w:t>
            </w:r>
          </w:p>
        </w:tc>
        <w:tc>
          <w:tcPr>
            <w:tcW w:w="3288" w:type="dxa"/>
            <w:gridSpan w:val="2"/>
          </w:tcPr>
          <w:p w14:paraId="70444AE7" w14:textId="5B1FDAEF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B40A66" w:rsidRPr="0050706D" w14:paraId="376F0EB9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FDAC67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Minimálně 512GB operační paměti</w:t>
            </w:r>
          </w:p>
        </w:tc>
        <w:tc>
          <w:tcPr>
            <w:tcW w:w="3288" w:type="dxa"/>
            <w:gridSpan w:val="2"/>
          </w:tcPr>
          <w:p w14:paraId="45CBD31E" w14:textId="08DEC167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B40A66" w:rsidRPr="0050706D" w14:paraId="5B898AD8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94AD78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2x pevný disk minimálně 960GB SSD 3DWPD</w:t>
            </w:r>
          </w:p>
        </w:tc>
        <w:tc>
          <w:tcPr>
            <w:tcW w:w="3288" w:type="dxa"/>
            <w:gridSpan w:val="2"/>
          </w:tcPr>
          <w:p w14:paraId="74CF9B66" w14:textId="64AE3B79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B40A66" w:rsidRPr="0050706D" w14:paraId="66DAB098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A064CC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Řadič HW RAID, s podporou RAID 0,1, se zálohovanou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mezipamětí</w:t>
            </w:r>
            <w:proofErr w:type="spellEnd"/>
          </w:p>
        </w:tc>
        <w:tc>
          <w:tcPr>
            <w:tcW w:w="3288" w:type="dxa"/>
            <w:gridSpan w:val="2"/>
          </w:tcPr>
          <w:p w14:paraId="1247C845" w14:textId="0B2C6D7F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B40A66" w:rsidRPr="0050706D" w14:paraId="0AC02B1F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B59387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Minimálně 1x 10GBit síťová karta pro komunikaci do LAN sítí (4 porty), včetně optických modulů SR</w:t>
            </w:r>
          </w:p>
        </w:tc>
        <w:tc>
          <w:tcPr>
            <w:tcW w:w="3288" w:type="dxa"/>
            <w:gridSpan w:val="2"/>
          </w:tcPr>
          <w:p w14:paraId="46E999DA" w14:textId="42716120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B40A66" w:rsidRPr="0050706D" w14:paraId="71A73401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42FF75" w14:textId="66221B94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Minimálně 1x 32GBit FC HBA (2 porty), včetně optických 32Gbit modulů </w:t>
            </w:r>
          </w:p>
        </w:tc>
        <w:tc>
          <w:tcPr>
            <w:tcW w:w="3288" w:type="dxa"/>
            <w:gridSpan w:val="2"/>
          </w:tcPr>
          <w:p w14:paraId="6A4EF202" w14:textId="12A7E71D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B40A66" w:rsidRPr="0050706D" w14:paraId="1EE7E637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82FF2D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Redundantní napájecí zdroje</w:t>
            </w:r>
          </w:p>
        </w:tc>
        <w:tc>
          <w:tcPr>
            <w:tcW w:w="3288" w:type="dxa"/>
            <w:gridSpan w:val="2"/>
          </w:tcPr>
          <w:p w14:paraId="5A844214" w14:textId="4E59F8E2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B40A66" w:rsidRPr="0050706D" w14:paraId="64937489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74AD7C" w14:textId="42FADC48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Instalační sada do </w:t>
            </w:r>
            <w:proofErr w:type="gramStart"/>
            <w:r w:rsidRPr="00E539AF">
              <w:rPr>
                <w:rFonts w:cstheme="minorHAnsi"/>
                <w:sz w:val="16"/>
                <w:szCs w:val="16"/>
              </w:rPr>
              <w:t xml:space="preserve">racku -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lyžiny</w:t>
            </w:r>
            <w:proofErr w:type="spellEnd"/>
            <w:proofErr w:type="gramEnd"/>
            <w:r w:rsidRPr="00E539AF">
              <w:rPr>
                <w:rFonts w:cstheme="minorHAnsi"/>
                <w:sz w:val="16"/>
                <w:szCs w:val="16"/>
              </w:rPr>
              <w:t xml:space="preserve"> +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cable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management</w:t>
            </w:r>
          </w:p>
        </w:tc>
        <w:tc>
          <w:tcPr>
            <w:tcW w:w="3288" w:type="dxa"/>
            <w:gridSpan w:val="2"/>
          </w:tcPr>
          <w:p w14:paraId="5B303CA5" w14:textId="6CADDC87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B40A66" w:rsidRPr="0050706D" w14:paraId="19E656D6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778381" w14:textId="641291AF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Nezávislý</w:t>
            </w:r>
            <w:r w:rsidR="001104F8">
              <w:rPr>
                <w:rFonts w:cstheme="minorHAnsi"/>
                <w:sz w:val="16"/>
                <w:szCs w:val="16"/>
              </w:rPr>
              <w:t xml:space="preserve"> min.</w:t>
            </w:r>
            <w:r w:rsidRPr="00E539AF">
              <w:rPr>
                <w:rFonts w:cstheme="minorHAnsi"/>
                <w:sz w:val="16"/>
                <w:szCs w:val="16"/>
              </w:rPr>
              <w:t xml:space="preserve"> 1GBit port pro vzdálenou správu</w:t>
            </w:r>
          </w:p>
        </w:tc>
        <w:tc>
          <w:tcPr>
            <w:tcW w:w="3288" w:type="dxa"/>
            <w:gridSpan w:val="2"/>
          </w:tcPr>
          <w:p w14:paraId="20FCB632" w14:textId="64F20C7E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B40A66" w:rsidRPr="0050706D" w14:paraId="04802E97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CCADCC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Software pro správu serverů s funkcemi:</w:t>
            </w:r>
          </w:p>
          <w:p w14:paraId="01340EEE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Kontinuální monitorování zdraví a výkonu infrastruktury</w:t>
            </w:r>
          </w:p>
          <w:p w14:paraId="452D6D32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Vzdálená správa serveru, plnohodnotné KVM</w:t>
            </w:r>
          </w:p>
          <w:p w14:paraId="7AC2F27E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Optimalizace napájení a úspory energií</w:t>
            </w:r>
          </w:p>
          <w:p w14:paraId="0FE8377A" w14:textId="3D6A92E0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88" w:type="dxa"/>
            <w:gridSpan w:val="2"/>
          </w:tcPr>
          <w:p w14:paraId="5AA4EF60" w14:textId="34D63BE1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B40A66" w:rsidRPr="0050706D" w14:paraId="752C9253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49E0BD6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Z důvodu zařazení do stávajícího systému centrální správy hardware je vyžadována kompatibilita s řešením Dell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OpenManage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Enterprise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>, minimálně v následujícím rozsahu:</w:t>
            </w:r>
          </w:p>
          <w:p w14:paraId="2E38DE25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Přehled modelů a sériových čísel</w:t>
            </w:r>
          </w:p>
          <w:p w14:paraId="56AEFD45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Přehled platnosti servisních kontraktů</w:t>
            </w:r>
          </w:p>
          <w:p w14:paraId="12371304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Inventarizace konfigurace</w:t>
            </w:r>
          </w:p>
          <w:p w14:paraId="65E136D9" w14:textId="07257326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Přehled verzí </w:t>
            </w:r>
            <w:r w:rsidR="00E2287F">
              <w:rPr>
                <w:rFonts w:cstheme="minorHAnsi"/>
                <w:sz w:val="16"/>
                <w:szCs w:val="16"/>
              </w:rPr>
              <w:t>firmware (</w:t>
            </w:r>
            <w:r w:rsidRPr="00E539AF">
              <w:rPr>
                <w:rFonts w:cstheme="minorHAnsi"/>
                <w:sz w:val="16"/>
                <w:szCs w:val="16"/>
              </w:rPr>
              <w:t>FW</w:t>
            </w:r>
            <w:r w:rsidR="00E2287F">
              <w:rPr>
                <w:rFonts w:cstheme="minorHAnsi"/>
                <w:sz w:val="16"/>
                <w:szCs w:val="16"/>
              </w:rPr>
              <w:t>)</w:t>
            </w:r>
            <w:r w:rsidRPr="00E539AF">
              <w:rPr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BIOSu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jednotlivých komponent</w:t>
            </w:r>
          </w:p>
          <w:p w14:paraId="0C021E18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Kontrola verzí FW a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BIOSu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oproti definovaným politikám</w:t>
            </w:r>
          </w:p>
          <w:p w14:paraId="48492A7A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Monitoring zatížení CPU a RAM</w:t>
            </w:r>
          </w:p>
          <w:p w14:paraId="39EF6728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Monitoring spotřeby elektrické energie</w:t>
            </w:r>
          </w:p>
          <w:p w14:paraId="30554565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Centrální řízení spotřeby elektrické energie</w:t>
            </w:r>
          </w:p>
          <w:p w14:paraId="525401B1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Centrální provádění updatů FW a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BIOSu</w:t>
            </w:r>
            <w:proofErr w:type="spellEnd"/>
          </w:p>
          <w:p w14:paraId="7BD1C082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Dálkové zapnutí/vypnutí jednotlivého serveru</w:t>
            </w:r>
          </w:p>
          <w:p w14:paraId="38D339EE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Dálkový přístup do konzole jednotlivého serveru (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remote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KVM)</w:t>
            </w:r>
          </w:p>
          <w:p w14:paraId="1A623F4C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Re-instalace OS pomocí dálkově připojené optické mechaniky a ISO souboru.</w:t>
            </w:r>
          </w:p>
          <w:p w14:paraId="4623064C" w14:textId="77777777" w:rsidR="00B40A66" w:rsidRPr="00E539AF" w:rsidRDefault="00B40A66" w:rsidP="00B40A6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88" w:type="dxa"/>
            <w:gridSpan w:val="2"/>
          </w:tcPr>
          <w:p w14:paraId="48B57A95" w14:textId="19C3F51E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B40A66" w:rsidRPr="0050706D" w14:paraId="25791CFF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F65F15" w14:textId="5333B14E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Webová nebo mobilní bezpečnostní aplikace, sloužící k ověření, že mezi expedicí zařízení a jeho zprovozněním v datovém </w:t>
            </w:r>
            <w:r w:rsidRPr="00E539AF">
              <w:rPr>
                <w:rFonts w:cstheme="minorHAnsi"/>
                <w:sz w:val="16"/>
                <w:szCs w:val="16"/>
              </w:rPr>
              <w:lastRenderedPageBreak/>
              <w:t xml:space="preserve">centru zákazníka, nedošlo k neautorizovanému zásahu do FW či </w:t>
            </w:r>
            <w:r w:rsidR="00E2287F">
              <w:rPr>
                <w:rFonts w:cstheme="minorHAnsi"/>
                <w:sz w:val="16"/>
                <w:szCs w:val="16"/>
              </w:rPr>
              <w:t>hardware (</w:t>
            </w:r>
            <w:r w:rsidRPr="00E539AF">
              <w:rPr>
                <w:rFonts w:cstheme="minorHAnsi"/>
                <w:sz w:val="16"/>
                <w:szCs w:val="16"/>
              </w:rPr>
              <w:t>HW</w:t>
            </w:r>
            <w:r w:rsidR="00E2287F">
              <w:rPr>
                <w:rFonts w:cstheme="minorHAnsi"/>
                <w:sz w:val="16"/>
                <w:szCs w:val="16"/>
              </w:rPr>
              <w:t>)</w:t>
            </w:r>
            <w:r w:rsidRPr="00E539AF">
              <w:rPr>
                <w:rFonts w:cstheme="minorHAnsi"/>
                <w:sz w:val="16"/>
                <w:szCs w:val="16"/>
              </w:rPr>
              <w:t xml:space="preserve"> ani k výměně některé klíčové komponenty za jinou.</w:t>
            </w:r>
          </w:p>
        </w:tc>
        <w:tc>
          <w:tcPr>
            <w:tcW w:w="3288" w:type="dxa"/>
            <w:gridSpan w:val="2"/>
          </w:tcPr>
          <w:p w14:paraId="0BAA75E2" w14:textId="0D9F333A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lastRenderedPageBreak/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B40A66" w:rsidRPr="0050706D" w14:paraId="3279C4AD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5A1776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Integrační pluginy pro monitoring zdravotního stavu a správu HW přímo z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vCenter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a MS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System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Center.</w:t>
            </w:r>
          </w:p>
        </w:tc>
        <w:tc>
          <w:tcPr>
            <w:tcW w:w="3288" w:type="dxa"/>
            <w:gridSpan w:val="2"/>
          </w:tcPr>
          <w:p w14:paraId="4542E5E1" w14:textId="2F7CFBCF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A8387F" w:rsidRPr="0050706D" w14:paraId="54AAAD52" w14:textId="77777777" w:rsidTr="009023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6" w:type="dxa"/>
            <w:gridSpan w:val="2"/>
          </w:tcPr>
          <w:p w14:paraId="33869865" w14:textId="402DC3CC" w:rsidR="00A8387F" w:rsidRPr="00E539AF" w:rsidRDefault="00A8387F" w:rsidP="001104F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Potvrzení od lokálního zastoupení výrobce, že nabízený har</w:t>
            </w:r>
            <w:r>
              <w:rPr>
                <w:rFonts w:cstheme="minorHAnsi"/>
                <w:sz w:val="16"/>
                <w:szCs w:val="16"/>
              </w:rPr>
              <w:t>d</w:t>
            </w:r>
            <w:r w:rsidRPr="00E539AF">
              <w:rPr>
                <w:rFonts w:cstheme="minorHAnsi"/>
                <w:sz w:val="16"/>
                <w:szCs w:val="16"/>
              </w:rPr>
              <w:t xml:space="preserve">ware je nový, nepoužitý, je určen pro </w:t>
            </w:r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EU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trh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bude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servisním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střediskem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výrobce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plně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podporován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>.</w:t>
            </w:r>
          </w:p>
        </w:tc>
        <w:tc>
          <w:tcPr>
            <w:tcW w:w="3248" w:type="dxa"/>
          </w:tcPr>
          <w:p w14:paraId="4D9127A4" w14:textId="77777777" w:rsidR="00A8387F" w:rsidRPr="00E539AF" w:rsidRDefault="00A8387F" w:rsidP="0090232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B40A66" w:rsidRPr="0050706D" w14:paraId="3F0126A7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9B8B9C" w14:textId="685696BB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88" w:type="dxa"/>
            <w:gridSpan w:val="2"/>
          </w:tcPr>
          <w:p w14:paraId="1347A7E8" w14:textId="7839E224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</w:tr>
    </w:tbl>
    <w:p w14:paraId="037998CF" w14:textId="77777777" w:rsidR="009B32C3" w:rsidRDefault="009B32C3" w:rsidP="009B32C3">
      <w:pPr>
        <w:pStyle w:val="Odstavecseseznamem"/>
        <w:spacing w:after="160" w:line="259" w:lineRule="auto"/>
        <w:ind w:left="1273"/>
      </w:pPr>
    </w:p>
    <w:p w14:paraId="625E56E7" w14:textId="1CA9AD64" w:rsidR="009B32C3" w:rsidRDefault="000E00D4" w:rsidP="009B32C3">
      <w:pPr>
        <w:ind w:firstLine="426"/>
      </w:pPr>
      <w:r>
        <w:t>b)</w:t>
      </w:r>
      <w:r>
        <w:tab/>
      </w:r>
      <w:r w:rsidR="001D004B" w:rsidRPr="001D004B">
        <w:t>Server pro zálohování - 1ks</w:t>
      </w:r>
    </w:p>
    <w:p w14:paraId="346D92EC" w14:textId="04D41494" w:rsidR="000B4A87" w:rsidRPr="0063717B" w:rsidRDefault="000B4A87" w:rsidP="009B32C3">
      <w:pPr>
        <w:ind w:firstLine="426"/>
        <w:rPr>
          <w:rFonts w:cstheme="minorHAnsi"/>
          <w:b/>
          <w:bCs/>
        </w:rPr>
      </w:pPr>
      <w:r>
        <w:t xml:space="preserve"> </w:t>
      </w:r>
      <w:r w:rsidR="00C569B1" w:rsidRPr="00807E9F">
        <w:rPr>
          <w:highlight w:val="green"/>
          <w:lang w:val="en-US"/>
        </w:rPr>
        <w:t>[</w:t>
      </w:r>
      <w:proofErr w:type="spellStart"/>
      <w:r w:rsidR="00C569B1" w:rsidRPr="00807E9F">
        <w:rPr>
          <w:highlight w:val="green"/>
          <w:lang w:val="en-US"/>
        </w:rPr>
        <w:t>i</w:t>
      </w:r>
      <w:r w:rsidR="00C569B1" w:rsidRPr="00807E9F">
        <w:rPr>
          <w:rFonts w:cstheme="minorHAnsi"/>
          <w:b/>
          <w:bCs/>
          <w:highlight w:val="green"/>
        </w:rPr>
        <w:t>dentifikace</w:t>
      </w:r>
      <w:proofErr w:type="spellEnd"/>
      <w:r w:rsidR="00C569B1" w:rsidRPr="00807E9F">
        <w:rPr>
          <w:rFonts w:cstheme="minorHAnsi"/>
          <w:b/>
          <w:bCs/>
          <w:highlight w:val="green"/>
        </w:rPr>
        <w:t xml:space="preserve"> modelu - DOPLNÍ PRODÁVAJÍCÍ]</w:t>
      </w:r>
      <w:r w:rsidR="00C569B1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46"/>
        <w:gridCol w:w="3248"/>
      </w:tblGrid>
      <w:tr w:rsidR="009B32C3" w:rsidRPr="0050706D" w14:paraId="662346A9" w14:textId="77777777" w:rsidTr="00B40A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6" w:type="dxa"/>
            <w:shd w:val="clear" w:color="auto" w:fill="D5DCE4" w:themeFill="text2" w:themeFillTint="33"/>
          </w:tcPr>
          <w:p w14:paraId="5838B6CE" w14:textId="77777777" w:rsidR="009B32C3" w:rsidRPr="00E539AF" w:rsidRDefault="009B32C3" w:rsidP="0060320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48" w:type="dxa"/>
            <w:shd w:val="clear" w:color="auto" w:fill="D5DCE4" w:themeFill="text2" w:themeFillTint="33"/>
          </w:tcPr>
          <w:p w14:paraId="12C9E357" w14:textId="77777777" w:rsidR="009B32C3" w:rsidRPr="00E539AF" w:rsidRDefault="009B32C3" w:rsidP="0060320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B40A66" w:rsidRPr="0050706D" w14:paraId="70CA5A5E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6" w:type="dxa"/>
          </w:tcPr>
          <w:p w14:paraId="725ABB3A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Rozměr - 2U</w:t>
            </w:r>
          </w:p>
        </w:tc>
        <w:tc>
          <w:tcPr>
            <w:tcW w:w="3248" w:type="dxa"/>
          </w:tcPr>
          <w:p w14:paraId="1DCD8740" w14:textId="24E85DA3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B40A66" w:rsidRPr="0050706D" w14:paraId="49E3A4CE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6" w:type="dxa"/>
          </w:tcPr>
          <w:p w14:paraId="1DF9CA3A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Minimálně 2x procesor, výkon dle cpubenchmark.net &gt; 14000, z důvodu licencování přesně osmi jádrový.</w:t>
            </w:r>
          </w:p>
        </w:tc>
        <w:tc>
          <w:tcPr>
            <w:tcW w:w="3248" w:type="dxa"/>
          </w:tcPr>
          <w:p w14:paraId="12CFD323" w14:textId="015CF4A2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B40A66" w:rsidRPr="0050706D" w14:paraId="25E510FD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6" w:type="dxa"/>
          </w:tcPr>
          <w:p w14:paraId="3D364A6D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Minimálně 128GB operační paměti</w:t>
            </w:r>
          </w:p>
        </w:tc>
        <w:tc>
          <w:tcPr>
            <w:tcW w:w="3248" w:type="dxa"/>
          </w:tcPr>
          <w:p w14:paraId="66D21E66" w14:textId="6621AA17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B40A66" w:rsidRPr="0050706D" w14:paraId="778A25F8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6" w:type="dxa"/>
          </w:tcPr>
          <w:p w14:paraId="5FC97CE5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Minimálně 10x 16TB pevný disk NL-SAS</w:t>
            </w:r>
          </w:p>
        </w:tc>
        <w:tc>
          <w:tcPr>
            <w:tcW w:w="3248" w:type="dxa"/>
          </w:tcPr>
          <w:p w14:paraId="4FC945DE" w14:textId="348719E3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B40A66" w:rsidRPr="0050706D" w14:paraId="7E27E728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6" w:type="dxa"/>
          </w:tcPr>
          <w:p w14:paraId="09DF9083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Minimálně 4x 1,9TB SSD disk 3DWPD</w:t>
            </w:r>
          </w:p>
        </w:tc>
        <w:tc>
          <w:tcPr>
            <w:tcW w:w="3248" w:type="dxa"/>
          </w:tcPr>
          <w:p w14:paraId="60B796FA" w14:textId="3DF8DD20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B40A66" w:rsidRPr="0050706D" w14:paraId="5E309F13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6" w:type="dxa"/>
          </w:tcPr>
          <w:p w14:paraId="5BDBF0C7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Řadič HW RAID, s podporou RAID 1,5, se zálohovanou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mezipamětí</w:t>
            </w:r>
            <w:proofErr w:type="spellEnd"/>
          </w:p>
        </w:tc>
        <w:tc>
          <w:tcPr>
            <w:tcW w:w="3248" w:type="dxa"/>
          </w:tcPr>
          <w:p w14:paraId="1FB0D6E4" w14:textId="0F47EF4B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B40A66" w:rsidRPr="0050706D" w14:paraId="1D8ED0A1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6" w:type="dxa"/>
          </w:tcPr>
          <w:p w14:paraId="0A53893A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Minimálně 1x 10GBit síťová karta pro připojení do LAN (2 porty), včetně optických modulů SR</w:t>
            </w:r>
          </w:p>
        </w:tc>
        <w:tc>
          <w:tcPr>
            <w:tcW w:w="3248" w:type="dxa"/>
          </w:tcPr>
          <w:p w14:paraId="41C42A12" w14:textId="55B3BB7B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B40A66" w:rsidRPr="0050706D" w14:paraId="04177195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6" w:type="dxa"/>
          </w:tcPr>
          <w:p w14:paraId="0AE66D09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Redundantní napájecí zdroje</w:t>
            </w:r>
          </w:p>
        </w:tc>
        <w:tc>
          <w:tcPr>
            <w:tcW w:w="3248" w:type="dxa"/>
          </w:tcPr>
          <w:p w14:paraId="44F19CC1" w14:textId="6B2C301A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B40A66" w:rsidRPr="0050706D" w14:paraId="19441294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6" w:type="dxa"/>
          </w:tcPr>
          <w:p w14:paraId="34A3F3F9" w14:textId="6271CBDF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Instalační sada do </w:t>
            </w:r>
            <w:proofErr w:type="gramStart"/>
            <w:r w:rsidRPr="00E539AF">
              <w:rPr>
                <w:rFonts w:cstheme="minorHAnsi"/>
                <w:sz w:val="16"/>
                <w:szCs w:val="16"/>
              </w:rPr>
              <w:t xml:space="preserve">racku -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lyžiny</w:t>
            </w:r>
            <w:proofErr w:type="spellEnd"/>
            <w:proofErr w:type="gramEnd"/>
            <w:r w:rsidRPr="00E539AF">
              <w:rPr>
                <w:rFonts w:cstheme="minorHAnsi"/>
                <w:sz w:val="16"/>
                <w:szCs w:val="16"/>
              </w:rPr>
              <w:t xml:space="preserve"> +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cable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management</w:t>
            </w:r>
          </w:p>
        </w:tc>
        <w:tc>
          <w:tcPr>
            <w:tcW w:w="3248" w:type="dxa"/>
          </w:tcPr>
          <w:p w14:paraId="10D367DC" w14:textId="193E4E28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B40A66" w:rsidRPr="0050706D" w14:paraId="0747845B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6" w:type="dxa"/>
          </w:tcPr>
          <w:p w14:paraId="126D0FF6" w14:textId="674CFEE9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Nezávislý </w:t>
            </w:r>
            <w:r w:rsidR="001104F8">
              <w:rPr>
                <w:rFonts w:cstheme="minorHAnsi"/>
                <w:sz w:val="16"/>
                <w:szCs w:val="16"/>
              </w:rPr>
              <w:t xml:space="preserve">min. </w:t>
            </w:r>
            <w:r w:rsidRPr="00E539AF">
              <w:rPr>
                <w:rFonts w:cstheme="minorHAnsi"/>
                <w:sz w:val="16"/>
                <w:szCs w:val="16"/>
              </w:rPr>
              <w:t>1GBit port pro vzdálenou správu</w:t>
            </w:r>
          </w:p>
        </w:tc>
        <w:tc>
          <w:tcPr>
            <w:tcW w:w="3248" w:type="dxa"/>
          </w:tcPr>
          <w:p w14:paraId="7D0A17FF" w14:textId="06491FFD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B40A66" w:rsidRPr="0050706D" w14:paraId="4C5E41F2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6" w:type="dxa"/>
          </w:tcPr>
          <w:p w14:paraId="5714CE75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Software pro správu serverů s funkcemi:</w:t>
            </w:r>
          </w:p>
          <w:p w14:paraId="54414DC6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Kontinuální monitorování zdraví a výkonu infrastruktury</w:t>
            </w:r>
          </w:p>
          <w:p w14:paraId="685174A7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Vzdálená správa serveru, plnohodnotné KVM</w:t>
            </w:r>
          </w:p>
          <w:p w14:paraId="2E642891" w14:textId="68FA2DF2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Optimalizace napájení a úspory energií</w:t>
            </w:r>
          </w:p>
        </w:tc>
        <w:tc>
          <w:tcPr>
            <w:tcW w:w="3248" w:type="dxa"/>
          </w:tcPr>
          <w:p w14:paraId="53750C1B" w14:textId="3E5CDD04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B40A66" w:rsidRPr="0050706D" w14:paraId="5FE896F3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6" w:type="dxa"/>
          </w:tcPr>
          <w:p w14:paraId="5DAD4E21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Z důvodu zařazení do stávajícího systému centrální správy hardware je vyžadována kompatibilita s řešením Dell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OpenManage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Enterprise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>, minimálně v následujícím rozsahu:</w:t>
            </w:r>
          </w:p>
          <w:p w14:paraId="5C9B353B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Přehled modelů a sériových čísel</w:t>
            </w:r>
          </w:p>
          <w:p w14:paraId="49561231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Přehled platnosti servisních kontraktů</w:t>
            </w:r>
          </w:p>
          <w:p w14:paraId="0604C203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Inventarizace konfigurace</w:t>
            </w:r>
          </w:p>
          <w:p w14:paraId="7F93A941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Přehled verzí FW a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BIOSu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jednotlivých komponent</w:t>
            </w:r>
          </w:p>
          <w:p w14:paraId="5ED11D58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Kontrola verzí FW a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BIOSu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oproti definovaným politikám</w:t>
            </w:r>
          </w:p>
          <w:p w14:paraId="175FA731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Monitoring zatížení CPU a RAM</w:t>
            </w:r>
          </w:p>
          <w:p w14:paraId="4B9DBDB2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Monitoring spotřeby elektrické energie</w:t>
            </w:r>
          </w:p>
          <w:p w14:paraId="7D8326A8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Centrální řízení spotřeby elektrické energie</w:t>
            </w:r>
          </w:p>
          <w:p w14:paraId="2B6F08CC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Centrální provádění updatů FW a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BIOSu</w:t>
            </w:r>
            <w:proofErr w:type="spellEnd"/>
          </w:p>
          <w:p w14:paraId="5DB1470F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Dálkové zapnutí/vypnutí jednotlivého serveru</w:t>
            </w:r>
          </w:p>
          <w:p w14:paraId="74FFF931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Dálkový přístup do konzole jednotlivého serveru (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remote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KVM)</w:t>
            </w:r>
          </w:p>
          <w:p w14:paraId="1B07B87A" w14:textId="77777777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Re-instalace OS pomocí dálkově připojené optické mechaniky a ISO souboru.</w:t>
            </w:r>
          </w:p>
          <w:p w14:paraId="123CD48C" w14:textId="77777777" w:rsidR="00B40A66" w:rsidRPr="00E539AF" w:rsidRDefault="00B40A66" w:rsidP="00B40A6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48" w:type="dxa"/>
          </w:tcPr>
          <w:p w14:paraId="42B2C97D" w14:textId="0B97AD76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B40A66" w:rsidRPr="0050706D" w14:paraId="7FDC7600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6" w:type="dxa"/>
          </w:tcPr>
          <w:p w14:paraId="78F3E09C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Webová nebo mobilní bezpečnostní aplikace, sloužící k ověření, že mezi expedicí zařízení a jeho zprovozněním v datovém centru zákazníka, nedošlo k neautorizovanému zásahu do FW či HW ani k výměně některé klíčové komponenty za jinou.</w:t>
            </w:r>
          </w:p>
        </w:tc>
        <w:tc>
          <w:tcPr>
            <w:tcW w:w="3248" w:type="dxa"/>
          </w:tcPr>
          <w:p w14:paraId="3EFCB5EF" w14:textId="54E63486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B40A66" w:rsidRPr="0050706D" w14:paraId="05D961E8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6" w:type="dxa"/>
          </w:tcPr>
          <w:p w14:paraId="47A7D895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Integrační pluginy pro monitoring zdravotního stavu a správu HW přímo z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vCenter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a MS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System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Center.</w:t>
            </w:r>
          </w:p>
        </w:tc>
        <w:tc>
          <w:tcPr>
            <w:tcW w:w="3248" w:type="dxa"/>
          </w:tcPr>
          <w:p w14:paraId="0D2CAC44" w14:textId="1E79DC69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B40A66" w:rsidRPr="0050706D" w14:paraId="0055412B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6" w:type="dxa"/>
          </w:tcPr>
          <w:p w14:paraId="7F8DB368" w14:textId="634039B8" w:rsidR="00B40A66" w:rsidRPr="00E539AF" w:rsidRDefault="00B40A66" w:rsidP="001104F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lastRenderedPageBreak/>
              <w:t>Potvrzení od lokálního zastoupení výrobce, že nabízený har</w:t>
            </w:r>
            <w:r>
              <w:rPr>
                <w:rFonts w:cstheme="minorHAnsi"/>
                <w:sz w:val="16"/>
                <w:szCs w:val="16"/>
              </w:rPr>
              <w:t>d</w:t>
            </w:r>
            <w:r w:rsidRPr="00E539AF">
              <w:rPr>
                <w:rFonts w:cstheme="minorHAnsi"/>
                <w:sz w:val="16"/>
                <w:szCs w:val="16"/>
              </w:rPr>
              <w:t xml:space="preserve">ware je nový, nepoužitý, je určen pro </w:t>
            </w:r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EU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trh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bude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servisním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střediskem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výrobce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plně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podporován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>.</w:t>
            </w:r>
          </w:p>
        </w:tc>
        <w:tc>
          <w:tcPr>
            <w:tcW w:w="3248" w:type="dxa"/>
          </w:tcPr>
          <w:p w14:paraId="7A288A79" w14:textId="440978EB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B40A66" w:rsidRPr="0050706D" w14:paraId="6BC80E2F" w14:textId="77777777" w:rsidTr="00B40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6" w:type="dxa"/>
          </w:tcPr>
          <w:p w14:paraId="3EEE2A16" w14:textId="652D32BE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48" w:type="dxa"/>
          </w:tcPr>
          <w:p w14:paraId="51D176D1" w14:textId="27E2863D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</w:tr>
    </w:tbl>
    <w:p w14:paraId="6A69C6E6" w14:textId="77777777" w:rsidR="009B32C3" w:rsidRDefault="009B32C3" w:rsidP="001D004B">
      <w:pPr>
        <w:ind w:firstLine="426"/>
      </w:pPr>
    </w:p>
    <w:p w14:paraId="460BE27D" w14:textId="77777777" w:rsidR="009B32C3" w:rsidRDefault="009B32C3" w:rsidP="001D004B">
      <w:pPr>
        <w:ind w:firstLine="426"/>
      </w:pPr>
    </w:p>
    <w:p w14:paraId="070D30BF" w14:textId="77777777" w:rsidR="009B32C3" w:rsidRDefault="009B32C3" w:rsidP="001D004B">
      <w:pPr>
        <w:ind w:firstLine="426"/>
      </w:pPr>
    </w:p>
    <w:p w14:paraId="3C3C2CA4" w14:textId="77777777" w:rsidR="00B623EA" w:rsidRDefault="00B623EA" w:rsidP="00490F2A">
      <w:pPr>
        <w:pStyle w:val="Odstavecseseznamem"/>
        <w:spacing w:after="160" w:line="259" w:lineRule="auto"/>
        <w:ind w:left="1560"/>
      </w:pPr>
    </w:p>
    <w:p w14:paraId="2A07F953" w14:textId="58340831" w:rsidR="000E00D4" w:rsidRDefault="000E00D4" w:rsidP="000E00D4">
      <w:pPr>
        <w:ind w:firstLine="426"/>
      </w:pPr>
      <w:r>
        <w:t>c)</w:t>
      </w:r>
      <w:r w:rsidRPr="0080233E">
        <w:tab/>
        <w:t xml:space="preserve">Disková pole pro </w:t>
      </w:r>
      <w:r w:rsidR="001D004B">
        <w:t>virtualizaci</w:t>
      </w:r>
      <w:r w:rsidRPr="0080233E">
        <w:t xml:space="preserve"> – </w:t>
      </w:r>
      <w:r w:rsidR="001D004B">
        <w:t>2</w:t>
      </w:r>
      <w:r w:rsidRPr="0080233E">
        <w:t>ks</w:t>
      </w:r>
    </w:p>
    <w:p w14:paraId="5F2B16B7" w14:textId="749C377D" w:rsidR="000B4A87" w:rsidRDefault="00C569B1" w:rsidP="000E00D4">
      <w:pPr>
        <w:ind w:firstLine="426"/>
      </w:pPr>
      <w:r w:rsidRPr="00807E9F">
        <w:rPr>
          <w:highlight w:val="green"/>
          <w:lang w:val="en-US"/>
        </w:rPr>
        <w:t>[</w:t>
      </w:r>
      <w:proofErr w:type="spellStart"/>
      <w:r w:rsidRPr="00807E9F">
        <w:rPr>
          <w:highlight w:val="green"/>
          <w:lang w:val="en-US"/>
        </w:rPr>
        <w:t>i</w:t>
      </w:r>
      <w:r w:rsidRPr="00807E9F">
        <w:rPr>
          <w:rFonts w:cstheme="minorHAnsi"/>
          <w:b/>
          <w:bCs/>
          <w:highlight w:val="green"/>
        </w:rPr>
        <w:t>dentifikace</w:t>
      </w:r>
      <w:proofErr w:type="spellEnd"/>
      <w:r w:rsidRPr="00807E9F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310"/>
        <w:gridCol w:w="4874"/>
        <w:gridCol w:w="2410"/>
      </w:tblGrid>
      <w:tr w:rsidR="00840BC7" w:rsidRPr="0050706D" w14:paraId="14A97BF2" w14:textId="77777777" w:rsidTr="00840B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shd w:val="clear" w:color="auto" w:fill="D5DCE4" w:themeFill="text2" w:themeFillTint="33"/>
          </w:tcPr>
          <w:p w14:paraId="14411749" w14:textId="760ED8F1" w:rsidR="00840BC7" w:rsidRPr="00E539AF" w:rsidRDefault="00840BC7" w:rsidP="0060320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Parametr</w:t>
            </w:r>
          </w:p>
        </w:tc>
        <w:tc>
          <w:tcPr>
            <w:tcW w:w="4874" w:type="dxa"/>
            <w:shd w:val="clear" w:color="auto" w:fill="D5DCE4" w:themeFill="text2" w:themeFillTint="33"/>
          </w:tcPr>
          <w:p w14:paraId="402E3579" w14:textId="148B06E3" w:rsidR="00840BC7" w:rsidRPr="00E539AF" w:rsidRDefault="00840BC7" w:rsidP="0060320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2410" w:type="dxa"/>
            <w:shd w:val="clear" w:color="auto" w:fill="D5DCE4" w:themeFill="text2" w:themeFillTint="33"/>
          </w:tcPr>
          <w:p w14:paraId="202709A3" w14:textId="429A9AB7" w:rsidR="00840BC7" w:rsidRPr="00E539AF" w:rsidRDefault="00840BC7" w:rsidP="0060320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B40A66" w:rsidRPr="0050706D" w14:paraId="055A8C48" w14:textId="77777777" w:rsidTr="00840B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4504C290" w14:textId="17BF76D0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Architektura</w:t>
            </w:r>
          </w:p>
        </w:tc>
        <w:tc>
          <w:tcPr>
            <w:tcW w:w="4874" w:type="dxa"/>
          </w:tcPr>
          <w:p w14:paraId="1A6D976A" w14:textId="5D298A7B" w:rsidR="00B40A66" w:rsidRPr="00E539AF" w:rsidRDefault="00B40A66" w:rsidP="00E2287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modulární, minimálně dvou řadičové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all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flash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/ hybridní diskové pole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active-active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designu založené na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NVMe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architektuře, řešení je koncipováno jako HW, </w:t>
            </w:r>
            <w:r w:rsidR="00983CAA">
              <w:rPr>
                <w:rFonts w:cstheme="minorHAnsi"/>
                <w:sz w:val="16"/>
                <w:szCs w:val="16"/>
              </w:rPr>
              <w:t>software (</w:t>
            </w:r>
            <w:r w:rsidRPr="00E539AF">
              <w:rPr>
                <w:rFonts w:cstheme="minorHAnsi"/>
                <w:sz w:val="16"/>
                <w:szCs w:val="16"/>
              </w:rPr>
              <w:t>SW</w:t>
            </w:r>
            <w:r w:rsidR="00E2287F">
              <w:rPr>
                <w:rFonts w:cstheme="minorHAnsi"/>
                <w:sz w:val="16"/>
                <w:szCs w:val="16"/>
              </w:rPr>
              <w:t>)</w:t>
            </w:r>
            <w:r w:rsidRPr="00E539AF">
              <w:rPr>
                <w:rFonts w:cstheme="minorHAnsi"/>
                <w:sz w:val="16"/>
                <w:szCs w:val="16"/>
              </w:rPr>
              <w:t xml:space="preserve"> a FW od jednoho výrobce</w:t>
            </w:r>
          </w:p>
        </w:tc>
        <w:tc>
          <w:tcPr>
            <w:tcW w:w="2410" w:type="dxa"/>
          </w:tcPr>
          <w:p w14:paraId="62A8EB5F" w14:textId="5DE2194F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1005F">
              <w:rPr>
                <w:sz w:val="16"/>
                <w:szCs w:val="16"/>
                <w:highlight w:val="green"/>
              </w:rPr>
              <w:t>[DOPLNÍ PRODÁVAJÍCÍ</w:t>
            </w:r>
            <w:r w:rsidRPr="00C1005F">
              <w:rPr>
                <w:sz w:val="16"/>
                <w:szCs w:val="16"/>
              </w:rPr>
              <w:t>]</w:t>
            </w:r>
          </w:p>
        </w:tc>
      </w:tr>
      <w:tr w:rsidR="00B40A66" w:rsidRPr="0050706D" w14:paraId="7F05B47A" w14:textId="77777777" w:rsidTr="00840B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06EDF3FA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Výkonnost</w:t>
            </w:r>
          </w:p>
          <w:p w14:paraId="7DC467CA" w14:textId="075FF2B0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874" w:type="dxa"/>
          </w:tcPr>
          <w:p w14:paraId="06194FA0" w14:textId="71B56D79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škálování výkonnosti je možné nativním přidáváním dalších řadičů minimálně do osmi řadičové konfigurace a škálování kapacit pomocí expanzních jednotek. Škálování řadičů ani expanzních jednotek není povoleno řešit pomocí externí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virtualizace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nebo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podvěšením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dalšího pole a řadičů</w:t>
            </w:r>
          </w:p>
        </w:tc>
        <w:tc>
          <w:tcPr>
            <w:tcW w:w="2410" w:type="dxa"/>
          </w:tcPr>
          <w:p w14:paraId="72CEB514" w14:textId="45F1D1D4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1005F">
              <w:rPr>
                <w:sz w:val="16"/>
                <w:szCs w:val="16"/>
                <w:highlight w:val="green"/>
              </w:rPr>
              <w:t>[DOPLNÍ PRODÁVAJÍCÍ</w:t>
            </w:r>
            <w:r w:rsidRPr="00C1005F">
              <w:rPr>
                <w:sz w:val="16"/>
                <w:szCs w:val="16"/>
              </w:rPr>
              <w:t>]</w:t>
            </w:r>
          </w:p>
        </w:tc>
      </w:tr>
      <w:tr w:rsidR="00B40A66" w:rsidRPr="0050706D" w14:paraId="1277818D" w14:textId="77777777" w:rsidTr="00840B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62F67066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Rozšiřitelnost, podporované disky a moduly</w:t>
            </w:r>
          </w:p>
          <w:p w14:paraId="29008F72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874" w:type="dxa"/>
          </w:tcPr>
          <w:p w14:paraId="2342D631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celková velikost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cache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>/</w:t>
            </w:r>
            <w:smartTag w:uri="urn:schemas-microsoft-com:office:smarttags" w:element="stockticker">
              <w:r w:rsidRPr="00E539AF">
                <w:rPr>
                  <w:rFonts w:cstheme="minorHAnsi"/>
                  <w:sz w:val="16"/>
                  <w:szCs w:val="16"/>
                </w:rPr>
                <w:t>RAM</w:t>
              </w:r>
            </w:smartTag>
            <w:r w:rsidRPr="00E539AF">
              <w:rPr>
                <w:rFonts w:cstheme="minorHAnsi"/>
                <w:sz w:val="16"/>
                <w:szCs w:val="16"/>
              </w:rPr>
              <w:t xml:space="preserve"> v jednom řadiči je minimálně 128GB</w:t>
            </w:r>
          </w:p>
          <w:p w14:paraId="561FE72C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celková nativní rozšiřitelnost je minimálně 700 disků, v případě nasazení více řadičů až čtyřikrát tolik disků. Jak je popsáno výše na řádku výkonnost, nelze toto řešit pomocí externí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virtualizace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nebo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podvěšením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dalšího pole a řadičů</w:t>
            </w:r>
          </w:p>
          <w:p w14:paraId="20F466DE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podpora 2,5” nebo 3,5” disků technologie SSD/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flash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včetně rotačních disků a to současně:</w:t>
            </w:r>
          </w:p>
          <w:p w14:paraId="5B1B0AFE" w14:textId="77777777" w:rsidR="00B40A66" w:rsidRPr="00E539AF" w:rsidRDefault="00B40A66" w:rsidP="00B40A66">
            <w:pPr>
              <w:autoSpaceDE w:val="0"/>
              <w:autoSpaceDN w:val="0"/>
              <w:adjustRightInd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-    podpora SCM (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Storage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Class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Memory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>)</w:t>
            </w:r>
          </w:p>
          <w:p w14:paraId="3781A2E4" w14:textId="77777777" w:rsidR="00B40A66" w:rsidRPr="00E539AF" w:rsidRDefault="00B40A66" w:rsidP="00B40A66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ind w:left="998" w:hanging="2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proofErr w:type="spellStart"/>
            <w:r w:rsidRPr="00E539AF">
              <w:rPr>
                <w:rFonts w:cstheme="minorHAnsi"/>
                <w:sz w:val="16"/>
                <w:szCs w:val="16"/>
              </w:rPr>
              <w:t>enterprise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úrovně tzn. minimálně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eMLC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, 3D TLC, SLC nebo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eSLC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nebo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enterprise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flash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modulů s hodnotou DWPD 2 a vyšší</w:t>
            </w:r>
          </w:p>
          <w:p w14:paraId="0352DEE5" w14:textId="77777777" w:rsidR="00B40A66" w:rsidRPr="00E539AF" w:rsidRDefault="00B40A66" w:rsidP="00B40A66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ind w:left="998" w:hanging="2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všechny požadované typy SSD musí být 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NVMe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architektury</w:t>
            </w:r>
          </w:p>
          <w:p w14:paraId="1D3DB768" w14:textId="77777777" w:rsidR="00B40A66" w:rsidRPr="00E539AF" w:rsidRDefault="00B40A66" w:rsidP="00B40A66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ind w:left="998" w:hanging="2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rotační disky minimálně na SAS 3.0 architektuře</w:t>
            </w:r>
          </w:p>
          <w:p w14:paraId="63B1DDCF" w14:textId="77777777" w:rsidR="00B40A66" w:rsidRPr="00E539AF" w:rsidRDefault="00B40A66" w:rsidP="00B40A66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ind w:left="998" w:hanging="2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řešení musí umožňovat nasazení redukce dat tak v reálném čase tak, aby nedošlo k žádnému ovlivnění výkonu jednotlivých řadičů, tzn. je požadována separátní HW technologie, která je nezávislá na výpočetním výkonu jednotlivých řadičů a zajišťuje maximálně efektivní redukci dat nezávisle na typu ukládaných dat</w:t>
            </w:r>
          </w:p>
          <w:p w14:paraId="158BDC56" w14:textId="3997348D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podpora minimálně následujících režimů RAID -  1, 5, 6, 10 nebo minimálně DRAID 1 a 6</w:t>
            </w:r>
          </w:p>
        </w:tc>
        <w:tc>
          <w:tcPr>
            <w:tcW w:w="2410" w:type="dxa"/>
          </w:tcPr>
          <w:p w14:paraId="31909381" w14:textId="690B7B98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1005F">
              <w:rPr>
                <w:sz w:val="16"/>
                <w:szCs w:val="16"/>
                <w:highlight w:val="green"/>
              </w:rPr>
              <w:t>[DOPLNÍ PRODÁVAJÍCÍ</w:t>
            </w:r>
            <w:r w:rsidRPr="00C1005F">
              <w:rPr>
                <w:sz w:val="16"/>
                <w:szCs w:val="16"/>
              </w:rPr>
              <w:t>]</w:t>
            </w:r>
          </w:p>
        </w:tc>
      </w:tr>
      <w:tr w:rsidR="00B40A66" w:rsidRPr="0050706D" w14:paraId="74BD926E" w14:textId="77777777" w:rsidTr="00840B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42C48CB8" w14:textId="78C7E3B4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Minimální požadovaná hrubá kapacita a ochrana dat</w:t>
            </w:r>
          </w:p>
        </w:tc>
        <w:tc>
          <w:tcPr>
            <w:tcW w:w="4874" w:type="dxa"/>
          </w:tcPr>
          <w:p w14:paraId="3DF227D0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proofErr w:type="spellStart"/>
            <w:r w:rsidRPr="00E539AF">
              <w:rPr>
                <w:rFonts w:cstheme="minorHAnsi"/>
                <w:sz w:val="16"/>
                <w:szCs w:val="16"/>
              </w:rPr>
              <w:t>Tier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0: minimálně 48 TB na SSD /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Flash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ve variantě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enterprise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(DWPD 2 a vyšší, maximální velikost jednoho SSD nebo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flash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modulu je 5TB)</w:t>
            </w:r>
          </w:p>
          <w:p w14:paraId="09574AA2" w14:textId="18458453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proofErr w:type="spellStart"/>
            <w:r w:rsidRPr="00E539AF">
              <w:rPr>
                <w:rFonts w:cstheme="minorHAnsi"/>
                <w:sz w:val="16"/>
                <w:szCs w:val="16"/>
              </w:rPr>
              <w:t>Tier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1: minimálně 124 TB na SSD /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Flash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nebo SAS 10k/15k ve variantě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enterprise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maximální velikost jednoho disku / modulu je 3TB)</w:t>
            </w:r>
          </w:p>
        </w:tc>
        <w:tc>
          <w:tcPr>
            <w:tcW w:w="2410" w:type="dxa"/>
          </w:tcPr>
          <w:p w14:paraId="74D6EFE1" w14:textId="78915E4B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1005F">
              <w:rPr>
                <w:sz w:val="16"/>
                <w:szCs w:val="16"/>
                <w:highlight w:val="green"/>
              </w:rPr>
              <w:t>[DOPLNÍ PRODÁVAJÍCÍ</w:t>
            </w:r>
            <w:r w:rsidRPr="00C1005F">
              <w:rPr>
                <w:sz w:val="16"/>
                <w:szCs w:val="16"/>
              </w:rPr>
              <w:t>]</w:t>
            </w:r>
          </w:p>
        </w:tc>
      </w:tr>
      <w:tr w:rsidR="00B40A66" w:rsidRPr="0050706D" w14:paraId="481551EA" w14:textId="77777777" w:rsidTr="00840B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4FF2DDE1" w14:textId="3F04837C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Požadavky na velikost řešení</w:t>
            </w:r>
          </w:p>
        </w:tc>
        <w:tc>
          <w:tcPr>
            <w:tcW w:w="4874" w:type="dxa"/>
          </w:tcPr>
          <w:p w14:paraId="3336EFEF" w14:textId="2B3503A4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Nabízené řešení nesmí přesáhnout 6U, v rámci nabízeného řešení musí být k dispozici minimálně 40 volných pozic pro 2,5“ nebo 3,5“ disky pro osazení SSD, SAS 10k, NL-SAS 7,2k bez nutnosti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dokupu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rozšiřující jednotky nebo řadičového boxu</w:t>
            </w:r>
          </w:p>
        </w:tc>
        <w:tc>
          <w:tcPr>
            <w:tcW w:w="2410" w:type="dxa"/>
          </w:tcPr>
          <w:p w14:paraId="5D9F6C94" w14:textId="7BDB488C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1005F">
              <w:rPr>
                <w:sz w:val="16"/>
                <w:szCs w:val="16"/>
                <w:highlight w:val="green"/>
              </w:rPr>
              <w:t>[DOPLNÍ PRODÁVAJÍCÍ</w:t>
            </w:r>
            <w:r w:rsidRPr="00C1005F">
              <w:rPr>
                <w:sz w:val="16"/>
                <w:szCs w:val="16"/>
              </w:rPr>
              <w:t>]</w:t>
            </w:r>
          </w:p>
        </w:tc>
      </w:tr>
      <w:tr w:rsidR="00B40A66" w:rsidRPr="0050706D" w14:paraId="581F0155" w14:textId="77777777" w:rsidTr="00840B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5FEA2491" w14:textId="2BD96B05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lastRenderedPageBreak/>
              <w:t>Konektivita k hostitelským serverům (front-end)</w:t>
            </w:r>
          </w:p>
        </w:tc>
        <w:tc>
          <w:tcPr>
            <w:tcW w:w="4874" w:type="dxa"/>
          </w:tcPr>
          <w:p w14:paraId="7EDD4A46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diskové pole obsahuje připojení diskového pole blokovým přístupem pomocí 32Gbit FC a 10Gbit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iSCSI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s možností rozšíření pomocí rozšiřujících karet do řadičů diskového pole o další přenosové protokoly (např. min. 25Gbit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Ethernet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RoCE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v2 nebo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iWARP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>)</w:t>
            </w:r>
          </w:p>
          <w:p w14:paraId="05E34FAC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jsou požadovány min. 2 porty minimálně 32Gb FC a 2 porty 10Gb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iSCSI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na řadič, tzn. minimálně 4x 32Gbit FC portů a 4x 10Gbit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iSCSI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portů na jedno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dvouřadičové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diskové pole</w:t>
            </w:r>
          </w:p>
          <w:p w14:paraId="3489B867" w14:textId="76EFDEF1" w:rsidR="00B40A66" w:rsidRPr="00E539AF" w:rsidRDefault="00B40A66" w:rsidP="00B40A66">
            <w:pPr>
              <w:pStyle w:val="Odstavecseseznamem"/>
              <w:numPr>
                <w:ilvl w:val="0"/>
                <w:numId w:val="37"/>
              </w:num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všechny porty jsou požadovány osazené příslušnými optickými moduly (32Gb pro FC, 10Gb pro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iSCSI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) </w:t>
            </w:r>
          </w:p>
        </w:tc>
        <w:tc>
          <w:tcPr>
            <w:tcW w:w="2410" w:type="dxa"/>
          </w:tcPr>
          <w:p w14:paraId="22740636" w14:textId="267B12E1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1005F">
              <w:rPr>
                <w:sz w:val="16"/>
                <w:szCs w:val="16"/>
                <w:highlight w:val="green"/>
              </w:rPr>
              <w:t>[DOPLNÍ PRODÁVAJÍCÍ</w:t>
            </w:r>
            <w:r w:rsidRPr="00C1005F">
              <w:rPr>
                <w:sz w:val="16"/>
                <w:szCs w:val="16"/>
              </w:rPr>
              <w:t>]</w:t>
            </w:r>
          </w:p>
        </w:tc>
      </w:tr>
      <w:tr w:rsidR="00B40A66" w:rsidRPr="0050706D" w14:paraId="1ED8B27D" w14:textId="77777777" w:rsidTr="00840B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2AFA5595" w14:textId="6B0334F3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Funkcionality pro efektivní ukládání a správu dat</w:t>
            </w:r>
          </w:p>
        </w:tc>
        <w:tc>
          <w:tcPr>
            <w:tcW w:w="4874" w:type="dxa"/>
          </w:tcPr>
          <w:p w14:paraId="751344F6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vytváření virtuálních logických disků</w:t>
            </w:r>
          </w:p>
          <w:p w14:paraId="7F4986C7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proofErr w:type="spellStart"/>
            <w:r w:rsidRPr="00E539AF">
              <w:rPr>
                <w:rFonts w:cstheme="minorHAnsi"/>
                <w:sz w:val="16"/>
                <w:szCs w:val="16"/>
              </w:rPr>
              <w:t>thin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provisioning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(včetně detekce a reklamace prázdného prostoru)</w:t>
            </w:r>
          </w:p>
          <w:p w14:paraId="42C47269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komprese dat v reálném čase bez nutnosti dedikování dodatečného diskového prostoru pro post-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processing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pro celou nabízenou kapacitu včetně patřičného HW akcelerátoru nebo na jednotlivých modulech</w:t>
            </w:r>
          </w:p>
          <w:p w14:paraId="0565F233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proofErr w:type="spellStart"/>
            <w:r w:rsidRPr="00E539AF">
              <w:rPr>
                <w:rFonts w:cstheme="minorHAnsi"/>
                <w:sz w:val="16"/>
                <w:szCs w:val="16"/>
              </w:rPr>
              <w:t>deduplikace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dat v reálném čase bez nutnosti dedikování dodatečného diskového prostoru pro post-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processing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pro celou požadovanou kapacitu včetně SW licence </w:t>
            </w:r>
          </w:p>
          <w:p w14:paraId="33095004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šifrování dat minimálně pro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flash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kapacitu ve standardu minimálně FIPS 140-2 bez nutnosti přítomnosti speciálních pevných disků včetně příslušné licence. Pokud nabízené řešení neumožňuje šifrování dat nad úrovní disků, jsou požadovány SED disky pro celou nabízenou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flash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kapacitu, opět minimálně ve standardu FIPS 140-2</w:t>
            </w:r>
          </w:p>
          <w:p w14:paraId="074F79DB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inteligentní správa výkonnostních charakteristik (pro minimálně 3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tiery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a to včetně SCM) virtualizovaných diskových prostorů (automatická migrace více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utilizovaných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dat na rychlejší disky nebo SSD/SCM)</w:t>
            </w:r>
          </w:p>
          <w:p w14:paraId="0F027637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podpora externí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storage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virtualizace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pro stávající disková pole a možnost dalšího připojení externích diskových polí od různých výrobců min. pro účely migrace. Seznam podporovaných diskových systému je veřejně dostupný.</w:t>
            </w:r>
          </w:p>
          <w:p w14:paraId="6C7DE389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Podpora nástrojů pro sledování historických dat o vytížení datového úložiště (minimálně počet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IOps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, latence, propustnost, alokovaná kapacita, využití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keší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) s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granularitou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na hosta či LUN s historií minimálně 1 rok (možnost řešit externích SW nástrojem v rámci dodávky)</w:t>
            </w:r>
          </w:p>
          <w:p w14:paraId="348EEA84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Microsoft VSS podpora</w:t>
            </w:r>
          </w:p>
          <w:p w14:paraId="60B1F2F1" w14:textId="69C7AB95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proofErr w:type="spellStart"/>
            <w:r w:rsidRPr="00E539AF">
              <w:rPr>
                <w:rFonts w:cstheme="minorHAnsi"/>
                <w:sz w:val="16"/>
                <w:szCs w:val="16"/>
              </w:rPr>
              <w:t>VMware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VAAI, VVOL podpora, dále je požadován VASA provider přímo ve FW nabízeného diskového pole</w:t>
            </w:r>
          </w:p>
        </w:tc>
        <w:tc>
          <w:tcPr>
            <w:tcW w:w="2410" w:type="dxa"/>
          </w:tcPr>
          <w:p w14:paraId="25C20223" w14:textId="5A900A7E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1005F">
              <w:rPr>
                <w:sz w:val="16"/>
                <w:szCs w:val="16"/>
                <w:highlight w:val="green"/>
              </w:rPr>
              <w:t>[DOPLNÍ PRODÁVAJÍCÍ</w:t>
            </w:r>
            <w:r w:rsidRPr="00C1005F">
              <w:rPr>
                <w:sz w:val="16"/>
                <w:szCs w:val="16"/>
              </w:rPr>
              <w:t>]</w:t>
            </w:r>
          </w:p>
        </w:tc>
      </w:tr>
      <w:tr w:rsidR="00B40A66" w:rsidRPr="0050706D" w14:paraId="3CF3FEDD" w14:textId="77777777" w:rsidTr="00840B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7D22AF76" w14:textId="2C0E66F8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Podpora operačních systémů a hypervizorů</w:t>
            </w:r>
          </w:p>
        </w:tc>
        <w:tc>
          <w:tcPr>
            <w:tcW w:w="4874" w:type="dxa"/>
          </w:tcPr>
          <w:p w14:paraId="3F910AE4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IBM AIX 7.1, 7.2 a vyšší</w:t>
            </w:r>
          </w:p>
          <w:p w14:paraId="3A5B9BA7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IBM VIOS 2.2 a vyšší</w:t>
            </w:r>
          </w:p>
          <w:p w14:paraId="676F32CD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proofErr w:type="spellStart"/>
            <w:r w:rsidRPr="00E539AF">
              <w:rPr>
                <w:rFonts w:cstheme="minorHAnsi"/>
                <w:sz w:val="16"/>
                <w:szCs w:val="16"/>
              </w:rPr>
              <w:t>Oracle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Enterprise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Linux 8.x a vyšší</w:t>
            </w:r>
          </w:p>
          <w:p w14:paraId="2FFCDA36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Oracle DB 11.x a 12.x a vyšší</w:t>
            </w:r>
          </w:p>
          <w:p w14:paraId="124C0723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RHEL 6.x a vyšší</w:t>
            </w:r>
          </w:p>
          <w:p w14:paraId="09BA8211" w14:textId="77777777" w:rsidR="00B40A66" w:rsidRPr="00E539AF" w:rsidRDefault="00B40A66" w:rsidP="00B40A6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proofErr w:type="spellStart"/>
            <w:r w:rsidRPr="00E539AF">
              <w:rPr>
                <w:rFonts w:cstheme="minorHAnsi"/>
                <w:sz w:val="16"/>
                <w:szCs w:val="16"/>
              </w:rPr>
              <w:t>VMware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7 a vyšší včetně VAAI a VASA integrací</w:t>
            </w:r>
          </w:p>
          <w:p w14:paraId="36B24B96" w14:textId="531C6A11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Windows server 2019 a vyšší</w:t>
            </w:r>
          </w:p>
        </w:tc>
        <w:tc>
          <w:tcPr>
            <w:tcW w:w="2410" w:type="dxa"/>
          </w:tcPr>
          <w:p w14:paraId="710A8DEF" w14:textId="62EF6BEC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1005F">
              <w:rPr>
                <w:sz w:val="16"/>
                <w:szCs w:val="16"/>
                <w:highlight w:val="green"/>
              </w:rPr>
              <w:t>[DOPLNÍ PRODÁVAJÍCÍ</w:t>
            </w:r>
            <w:r w:rsidRPr="00C1005F">
              <w:rPr>
                <w:sz w:val="16"/>
                <w:szCs w:val="16"/>
              </w:rPr>
              <w:t>]</w:t>
            </w:r>
          </w:p>
        </w:tc>
      </w:tr>
      <w:tr w:rsidR="00B40A66" w:rsidRPr="0050706D" w14:paraId="33088EFE" w14:textId="77777777" w:rsidTr="00840B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76A9CDF0" w14:textId="041DE83E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Typ přístupu k datům</w:t>
            </w:r>
          </w:p>
        </w:tc>
        <w:tc>
          <w:tcPr>
            <w:tcW w:w="4874" w:type="dxa"/>
          </w:tcPr>
          <w:p w14:paraId="6B4E593C" w14:textId="0A6352BE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blokový, standard </w:t>
            </w:r>
            <w:smartTag w:uri="urn:schemas-microsoft-com:office:smarttags" w:element="stockticker">
              <w:r w:rsidRPr="00E539AF">
                <w:rPr>
                  <w:rFonts w:cstheme="minorHAnsi"/>
                  <w:sz w:val="16"/>
                  <w:szCs w:val="16"/>
                </w:rPr>
                <w:t>FCP</w:t>
              </w:r>
            </w:smartTag>
            <w:r w:rsidRPr="00E539AF">
              <w:rPr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iSCSI</w:t>
            </w:r>
            <w:proofErr w:type="spellEnd"/>
          </w:p>
        </w:tc>
        <w:tc>
          <w:tcPr>
            <w:tcW w:w="2410" w:type="dxa"/>
          </w:tcPr>
          <w:p w14:paraId="37C2461D" w14:textId="160C2902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1005F">
              <w:rPr>
                <w:sz w:val="16"/>
                <w:szCs w:val="16"/>
                <w:highlight w:val="green"/>
              </w:rPr>
              <w:t>[DOPLNÍ PRODÁVAJÍCÍ</w:t>
            </w:r>
            <w:r w:rsidRPr="00C1005F">
              <w:rPr>
                <w:sz w:val="16"/>
                <w:szCs w:val="16"/>
              </w:rPr>
              <w:t>]</w:t>
            </w:r>
          </w:p>
        </w:tc>
      </w:tr>
      <w:tr w:rsidR="00B40A66" w:rsidRPr="0050706D" w14:paraId="7EEB0790" w14:textId="77777777" w:rsidTr="00840B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4CF14075" w14:textId="1F69E9B0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Bezpečnost</w:t>
            </w:r>
          </w:p>
        </w:tc>
        <w:tc>
          <w:tcPr>
            <w:tcW w:w="4874" w:type="dxa"/>
          </w:tcPr>
          <w:p w14:paraId="5E42AD95" w14:textId="3D36D449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ochrana proti ransomware útokům nativní funkcionalitou nabízeného pole v rámci jeho funkcionalit – řešení z aplikační vrstvy pomocí aplikací třetích stran není přípustné. Řešení musí být pro tento účel jasně popsané a určené, např. ochrana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LUNu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pouze nastavením do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read-only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modu není dostatečná pro splnění tohoto požadavku</w:t>
            </w:r>
          </w:p>
        </w:tc>
        <w:tc>
          <w:tcPr>
            <w:tcW w:w="2410" w:type="dxa"/>
          </w:tcPr>
          <w:p w14:paraId="3F0A083E" w14:textId="6B8DF742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1005F">
              <w:rPr>
                <w:sz w:val="16"/>
                <w:szCs w:val="16"/>
                <w:highlight w:val="green"/>
              </w:rPr>
              <w:t>[DOPLNÍ PRODÁVAJÍCÍ</w:t>
            </w:r>
            <w:r w:rsidRPr="00C1005F">
              <w:rPr>
                <w:sz w:val="16"/>
                <w:szCs w:val="16"/>
              </w:rPr>
              <w:t>]</w:t>
            </w:r>
          </w:p>
        </w:tc>
      </w:tr>
      <w:tr w:rsidR="00B40A66" w:rsidRPr="0050706D" w14:paraId="16CEF361" w14:textId="77777777" w:rsidTr="00840B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4583726E" w14:textId="7B7ADC11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lastRenderedPageBreak/>
              <w:t>Kopírovací funkce - licence musí být součástí nabídky a musí být na neomezenou kapacitu, počet disků, expanzích jednotek atd.</w:t>
            </w:r>
          </w:p>
        </w:tc>
        <w:tc>
          <w:tcPr>
            <w:tcW w:w="4874" w:type="dxa"/>
          </w:tcPr>
          <w:p w14:paraId="3359796E" w14:textId="77777777" w:rsidR="00B40A66" w:rsidRPr="00E539AF" w:rsidRDefault="00B40A66" w:rsidP="00B40A66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zrcadlení virtuálního disku tzn. ochrana virtualizovaných dat v režimu RAID1 (s možností zdvojení dat virtuálního disku i na dvě pole)</w:t>
            </w:r>
          </w:p>
          <w:p w14:paraId="0A94312E" w14:textId="77777777" w:rsidR="00B40A66" w:rsidRPr="00E539AF" w:rsidRDefault="00B40A66" w:rsidP="00B40A66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možnost vytváření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snapshotů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(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CoW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RoW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>) a klonů v následujících režimech:</w:t>
            </w:r>
          </w:p>
          <w:p w14:paraId="722F585F" w14:textId="77777777" w:rsidR="00B40A66" w:rsidRPr="00E539AF" w:rsidRDefault="00B40A66" w:rsidP="00B40A66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proofErr w:type="spellStart"/>
            <w:r w:rsidRPr="00E539AF">
              <w:rPr>
                <w:rFonts w:cstheme="minorHAnsi"/>
                <w:sz w:val="16"/>
                <w:szCs w:val="16"/>
              </w:rPr>
              <w:t>snapshot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se po určité době může automaticky stát klonem </w:t>
            </w:r>
          </w:p>
          <w:p w14:paraId="1D5E2A3A" w14:textId="77777777" w:rsidR="00B40A66" w:rsidRPr="00E539AF" w:rsidRDefault="00B40A66" w:rsidP="00B40A66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inkrementální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snapshoty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>, tzn. kopírují se jen rozdílová data mezi dvěma okamžiky iniciace klonu</w:t>
            </w:r>
          </w:p>
          <w:p w14:paraId="4086B455" w14:textId="77777777" w:rsidR="00B40A66" w:rsidRPr="00E539AF" w:rsidRDefault="00B40A66" w:rsidP="00B40A66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reverzní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snapshoty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- lze provést zpětné přesunutí dat z klonu do původního originálního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Volume</w:t>
            </w:r>
            <w:proofErr w:type="spellEnd"/>
          </w:p>
          <w:p w14:paraId="0AC102BD" w14:textId="77777777" w:rsidR="00B40A66" w:rsidRPr="00E539AF" w:rsidRDefault="00B40A66" w:rsidP="00B40A66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lze udržovat až 4 inkrementálně pořizované klony z jednoho originálu (s možností reverzních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snapshotů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>)</w:t>
            </w:r>
          </w:p>
          <w:p w14:paraId="5EC9BAA1" w14:textId="2992C8AE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interní/externí zrcadlení logického (virtuálního) disku z jednoho zdroje do dvou cílů pro zvýšení dostupnosti v případě výpadku jednoho cíle</w:t>
            </w:r>
          </w:p>
        </w:tc>
        <w:tc>
          <w:tcPr>
            <w:tcW w:w="2410" w:type="dxa"/>
          </w:tcPr>
          <w:p w14:paraId="7C099611" w14:textId="40538E65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1005F">
              <w:rPr>
                <w:sz w:val="16"/>
                <w:szCs w:val="16"/>
                <w:highlight w:val="green"/>
              </w:rPr>
              <w:t>[DOPLNÍ PRODÁVAJÍCÍ</w:t>
            </w:r>
            <w:r w:rsidRPr="00C1005F">
              <w:rPr>
                <w:sz w:val="16"/>
                <w:szCs w:val="16"/>
              </w:rPr>
              <w:t>]</w:t>
            </w:r>
          </w:p>
        </w:tc>
      </w:tr>
      <w:tr w:rsidR="00B40A66" w:rsidRPr="0050706D" w14:paraId="58BFC230" w14:textId="77777777" w:rsidTr="00840B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435171F8" w14:textId="7F2981A4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Zajištění kontinuální dostupnosti dat (DR a HA řešení) - licence musí být součástí nabídky a musí být na neomezenou kapacitu, počet disků, expanzích jednotek atd.</w:t>
            </w:r>
          </w:p>
        </w:tc>
        <w:tc>
          <w:tcPr>
            <w:tcW w:w="4874" w:type="dxa"/>
          </w:tcPr>
          <w:p w14:paraId="765F66E3" w14:textId="77777777" w:rsidR="00B40A66" w:rsidRPr="00E539AF" w:rsidRDefault="00B40A66" w:rsidP="00B40A6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upgrade software a hardware u řadičů je proveditelné za chodu a bez ztráty přístupu hostitelských serverů k datum</w:t>
            </w:r>
          </w:p>
          <w:p w14:paraId="44FB0B79" w14:textId="77777777" w:rsidR="00B40A66" w:rsidRPr="00E539AF" w:rsidRDefault="00B40A66" w:rsidP="00B40A6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disková musí být možné spojit do clusteru, který umožňuje vytvoření jednoho funkčního celku, zrcadlení dat mezi jednotlivými poli apod.</w:t>
            </w:r>
          </w:p>
          <w:p w14:paraId="6DF40848" w14:textId="77777777" w:rsidR="00B40A66" w:rsidRPr="00E539AF" w:rsidRDefault="00B40A66" w:rsidP="00B40A6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vytvoření HA řešení s automatickým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failover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bez dalších vícenákladů, které je navíc nezávislé na běžných OS nebo virtualizační platformě včetně příslušných licencí</w:t>
            </w:r>
          </w:p>
          <w:p w14:paraId="45EE9E81" w14:textId="77777777" w:rsidR="00B40A66" w:rsidRPr="00E539AF" w:rsidRDefault="00B40A66" w:rsidP="00B40A6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podpora replikace do třetí lokality</w:t>
            </w:r>
          </w:p>
          <w:p w14:paraId="6E438783" w14:textId="77777777" w:rsidR="00B40A66" w:rsidRPr="00E539AF" w:rsidRDefault="00B40A66" w:rsidP="00B40A6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je požadována nativní replikace dat na úrovni nabízeného diskového pole se stávajícími diskovými poli zadavatele</w:t>
            </w:r>
          </w:p>
          <w:p w14:paraId="2FB2A5D3" w14:textId="77777777" w:rsidR="00B40A66" w:rsidRPr="00E539AF" w:rsidRDefault="00B40A66" w:rsidP="00B40A6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SW pro redundantní datové cesty v ceně řešení</w:t>
            </w:r>
          </w:p>
          <w:p w14:paraId="268E1A13" w14:textId="73906598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Nabízené řešení musí být plně kompatibilní s 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VMware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Metro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Storage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Cluster funkcionalitou, tzn. musí být dohledatelné v matici kompatibility na stránkách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VMware</w:t>
            </w:r>
            <w:proofErr w:type="spellEnd"/>
          </w:p>
        </w:tc>
        <w:tc>
          <w:tcPr>
            <w:tcW w:w="2410" w:type="dxa"/>
          </w:tcPr>
          <w:p w14:paraId="348B22B8" w14:textId="608A966D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1005F">
              <w:rPr>
                <w:sz w:val="16"/>
                <w:szCs w:val="16"/>
                <w:highlight w:val="green"/>
              </w:rPr>
              <w:t>[DOPLNÍ PRODÁVAJÍCÍ</w:t>
            </w:r>
            <w:r w:rsidRPr="00C1005F">
              <w:rPr>
                <w:sz w:val="16"/>
                <w:szCs w:val="16"/>
              </w:rPr>
              <w:t>]</w:t>
            </w:r>
          </w:p>
        </w:tc>
      </w:tr>
      <w:tr w:rsidR="00B40A66" w:rsidRPr="0050706D" w14:paraId="17871264" w14:textId="77777777" w:rsidTr="00840B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764206BD" w14:textId="05965F2D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Management</w:t>
            </w:r>
          </w:p>
        </w:tc>
        <w:tc>
          <w:tcPr>
            <w:tcW w:w="4874" w:type="dxa"/>
          </w:tcPr>
          <w:p w14:paraId="5E098176" w14:textId="74CDE4A3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Je požadován shodný management jako u stávajících diskových polí zadavatele</w:t>
            </w:r>
          </w:p>
        </w:tc>
        <w:tc>
          <w:tcPr>
            <w:tcW w:w="2410" w:type="dxa"/>
          </w:tcPr>
          <w:p w14:paraId="2DB86F00" w14:textId="3FB9B65A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1005F">
              <w:rPr>
                <w:sz w:val="16"/>
                <w:szCs w:val="16"/>
                <w:highlight w:val="green"/>
              </w:rPr>
              <w:t>[DOPLNÍ PRODÁVAJÍCÍ</w:t>
            </w:r>
            <w:r w:rsidRPr="00C1005F">
              <w:rPr>
                <w:sz w:val="16"/>
                <w:szCs w:val="16"/>
              </w:rPr>
              <w:t>]</w:t>
            </w:r>
          </w:p>
        </w:tc>
      </w:tr>
      <w:tr w:rsidR="00B40A66" w:rsidRPr="0050706D" w14:paraId="3D3DF38D" w14:textId="77777777" w:rsidTr="00840B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7173AADB" w14:textId="19C93043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Migrace dat</w:t>
            </w:r>
          </w:p>
        </w:tc>
        <w:tc>
          <w:tcPr>
            <w:tcW w:w="4874" w:type="dxa"/>
          </w:tcPr>
          <w:p w14:paraId="7D6E96C1" w14:textId="564D354F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transparentní migrace (tzn. možnost zdarma migrovat data ze stávajících diskových polí na nová disková úložiště) s možnosti rozšíření o synchronní a asynchronní zrcadlení logických (virtuálních) disků v případě více lokalit</w:t>
            </w:r>
          </w:p>
        </w:tc>
        <w:tc>
          <w:tcPr>
            <w:tcW w:w="2410" w:type="dxa"/>
          </w:tcPr>
          <w:p w14:paraId="169A6C6B" w14:textId="529583F8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1005F">
              <w:rPr>
                <w:sz w:val="16"/>
                <w:szCs w:val="16"/>
                <w:highlight w:val="green"/>
              </w:rPr>
              <w:t>[DOPLNÍ PRODÁVAJÍCÍ</w:t>
            </w:r>
            <w:r w:rsidRPr="00C1005F">
              <w:rPr>
                <w:sz w:val="16"/>
                <w:szCs w:val="16"/>
              </w:rPr>
              <w:t>]</w:t>
            </w:r>
          </w:p>
        </w:tc>
      </w:tr>
      <w:tr w:rsidR="00B40A66" w:rsidRPr="0050706D" w14:paraId="34958EB6" w14:textId="77777777" w:rsidTr="00840B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297D9AC5" w14:textId="6B02EFAA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Počet hostitelských serverů připojovaných k diskovému poli</w:t>
            </w:r>
          </w:p>
        </w:tc>
        <w:tc>
          <w:tcPr>
            <w:tcW w:w="4874" w:type="dxa"/>
          </w:tcPr>
          <w:p w14:paraId="52A74185" w14:textId="6AB13009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řešení obsahuje licence na neomezený počet připojení hostitelských serverů </w:t>
            </w:r>
          </w:p>
        </w:tc>
        <w:tc>
          <w:tcPr>
            <w:tcW w:w="2410" w:type="dxa"/>
          </w:tcPr>
          <w:p w14:paraId="75896FDE" w14:textId="4CF4A2CD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1005F">
              <w:rPr>
                <w:sz w:val="16"/>
                <w:szCs w:val="16"/>
                <w:highlight w:val="green"/>
              </w:rPr>
              <w:t>[DOPLNÍ PRODÁVAJÍCÍ</w:t>
            </w:r>
            <w:r w:rsidRPr="00C1005F">
              <w:rPr>
                <w:sz w:val="16"/>
                <w:szCs w:val="16"/>
              </w:rPr>
              <w:t>]</w:t>
            </w:r>
          </w:p>
        </w:tc>
      </w:tr>
      <w:tr w:rsidR="00B40A66" w:rsidRPr="0050706D" w14:paraId="3E3E0734" w14:textId="77777777" w:rsidTr="00840B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52FA79AF" w14:textId="2A8CBD09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Správa diskového pole a další dostupné funkcionality</w:t>
            </w:r>
          </w:p>
        </w:tc>
        <w:tc>
          <w:tcPr>
            <w:tcW w:w="4874" w:type="dxa"/>
          </w:tcPr>
          <w:p w14:paraId="743CCE18" w14:textId="77777777" w:rsidR="00B40A66" w:rsidRPr="00E539AF" w:rsidRDefault="00B40A66" w:rsidP="00B40A6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 xml:space="preserve">SW pro plnohodnotnou správu diskového pole a diskových subsystémů, možnost ovládání přes </w:t>
            </w:r>
            <w:smartTag w:uri="urn:schemas-microsoft-com:office:smarttags" w:element="stockticker">
              <w:r w:rsidRPr="00E539AF">
                <w:rPr>
                  <w:rFonts w:cstheme="minorHAnsi"/>
                  <w:sz w:val="16"/>
                  <w:szCs w:val="16"/>
                </w:rPr>
                <w:t>CLI</w:t>
              </w:r>
            </w:smartTag>
            <w:r w:rsidRPr="00E539AF">
              <w:rPr>
                <w:rFonts w:cstheme="minorHAnsi"/>
                <w:sz w:val="16"/>
                <w:szCs w:val="16"/>
              </w:rPr>
              <w:t xml:space="preserve">, GUI (ze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std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>. web browseru)</w:t>
            </w:r>
          </w:p>
          <w:p w14:paraId="5BBB6807" w14:textId="77777777" w:rsidR="00B40A66" w:rsidRPr="00E539AF" w:rsidRDefault="00B40A66" w:rsidP="00B40A6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proofErr w:type="spellStart"/>
            <w:r w:rsidRPr="00E539AF">
              <w:rPr>
                <w:rFonts w:cstheme="minorHAnsi"/>
                <w:sz w:val="16"/>
                <w:szCs w:val="16"/>
              </w:rPr>
              <w:t>Remote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Service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 (call 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home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>) v c</w:t>
            </w:r>
            <w:bookmarkStart w:id="8" w:name="_GoBack"/>
            <w:bookmarkEnd w:id="8"/>
            <w:r w:rsidRPr="00E539AF">
              <w:rPr>
                <w:rFonts w:cstheme="minorHAnsi"/>
                <w:sz w:val="16"/>
                <w:szCs w:val="16"/>
              </w:rPr>
              <w:t>eně řešení</w:t>
            </w:r>
          </w:p>
          <w:p w14:paraId="3F92B161" w14:textId="77777777" w:rsidR="00B40A66" w:rsidRPr="00E539AF" w:rsidRDefault="00B40A66" w:rsidP="00B40A6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Příkazy prováděné v GUI jsou uchovávány v tzv. "</w:t>
            </w:r>
            <w:proofErr w:type="spellStart"/>
            <w:r w:rsidRPr="00E539AF">
              <w:rPr>
                <w:rFonts w:cstheme="minorHAnsi"/>
                <w:sz w:val="16"/>
                <w:szCs w:val="16"/>
              </w:rPr>
              <w:t>AuditLogu</w:t>
            </w:r>
            <w:proofErr w:type="spellEnd"/>
            <w:r w:rsidRPr="00E539AF">
              <w:rPr>
                <w:rFonts w:cstheme="minorHAnsi"/>
                <w:sz w:val="16"/>
                <w:szCs w:val="16"/>
              </w:rPr>
              <w:t xml:space="preserve">" v podobě standardních </w:t>
            </w:r>
            <w:smartTag w:uri="urn:schemas-microsoft-com:office:smarttags" w:element="stockticker">
              <w:r w:rsidRPr="00E539AF">
                <w:rPr>
                  <w:rFonts w:cstheme="minorHAnsi"/>
                  <w:sz w:val="16"/>
                  <w:szCs w:val="16"/>
                </w:rPr>
                <w:t>CLI</w:t>
              </w:r>
            </w:smartTag>
            <w:r w:rsidRPr="00E539AF">
              <w:rPr>
                <w:rFonts w:cstheme="minorHAnsi"/>
                <w:sz w:val="16"/>
                <w:szCs w:val="16"/>
              </w:rPr>
              <w:t xml:space="preserve"> příkazů, které lze později snadno zkopírovat a aplikovat při programování uživatelských skriptů např. pro podporu automatizace zálohování atd.</w:t>
            </w:r>
          </w:p>
          <w:p w14:paraId="6E1B1C44" w14:textId="296DC1A9" w:rsidR="00B40A66" w:rsidRPr="00E539AF" w:rsidRDefault="00B40A66" w:rsidP="00BA4E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11859E9" w14:textId="601666EA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1005F">
              <w:rPr>
                <w:sz w:val="16"/>
                <w:szCs w:val="16"/>
                <w:highlight w:val="green"/>
              </w:rPr>
              <w:t>[DOPLNÍ PRODÁVAJÍCÍ</w:t>
            </w:r>
            <w:r w:rsidRPr="00C1005F">
              <w:rPr>
                <w:sz w:val="16"/>
                <w:szCs w:val="16"/>
              </w:rPr>
              <w:t>]</w:t>
            </w:r>
          </w:p>
        </w:tc>
      </w:tr>
      <w:tr w:rsidR="00B40A66" w:rsidRPr="0050706D" w14:paraId="65EE323F" w14:textId="77777777" w:rsidTr="00840B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2A9A23A2" w14:textId="4ADC5D72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Příslušenství</w:t>
            </w:r>
          </w:p>
        </w:tc>
        <w:tc>
          <w:tcPr>
            <w:tcW w:w="4874" w:type="dxa"/>
          </w:tcPr>
          <w:p w14:paraId="7655D8E3" w14:textId="02F9BBB4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Součástí dodávky je veškerá potřebná kabeláž pro plné zapojení všech portů do instalovaného prostředí a potřebná napájecí kabeláž kompatibilní s napájecími lištami v RACK skříních.</w:t>
            </w:r>
          </w:p>
        </w:tc>
        <w:tc>
          <w:tcPr>
            <w:tcW w:w="2410" w:type="dxa"/>
          </w:tcPr>
          <w:p w14:paraId="566E70E7" w14:textId="5677140B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1005F">
              <w:rPr>
                <w:sz w:val="16"/>
                <w:szCs w:val="16"/>
                <w:highlight w:val="green"/>
              </w:rPr>
              <w:t>[DOPLNÍ PRODÁVAJÍCÍ</w:t>
            </w:r>
            <w:r w:rsidRPr="00C1005F">
              <w:rPr>
                <w:sz w:val="16"/>
                <w:szCs w:val="16"/>
              </w:rPr>
              <w:t>]</w:t>
            </w:r>
          </w:p>
        </w:tc>
      </w:tr>
      <w:tr w:rsidR="00B40A66" w:rsidRPr="0050706D" w14:paraId="72E2AFB9" w14:textId="77777777" w:rsidTr="00840B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779948F3" w14:textId="41A2A156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Potvrzení</w:t>
            </w:r>
          </w:p>
        </w:tc>
        <w:tc>
          <w:tcPr>
            <w:tcW w:w="4874" w:type="dxa"/>
          </w:tcPr>
          <w:p w14:paraId="4E907A21" w14:textId="680BDBFB" w:rsidR="00B40A66" w:rsidRPr="00E539AF" w:rsidRDefault="00B40A66" w:rsidP="00E2287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Potvrzení od lokálního zastoupení výrobce, že nabízený har</w:t>
            </w:r>
            <w:r>
              <w:rPr>
                <w:rFonts w:cstheme="minorHAnsi"/>
                <w:sz w:val="16"/>
                <w:szCs w:val="16"/>
              </w:rPr>
              <w:t>d</w:t>
            </w:r>
            <w:r w:rsidRPr="00E539AF">
              <w:rPr>
                <w:rFonts w:cstheme="minorHAnsi"/>
                <w:sz w:val="16"/>
                <w:szCs w:val="16"/>
              </w:rPr>
              <w:t>ware je nový, nepoužitý, je určen pro EU trh a bude servisním střediskem výrobce plně podporován.</w:t>
            </w:r>
          </w:p>
        </w:tc>
        <w:tc>
          <w:tcPr>
            <w:tcW w:w="2410" w:type="dxa"/>
          </w:tcPr>
          <w:p w14:paraId="17AA148A" w14:textId="3148DF8F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1005F">
              <w:rPr>
                <w:sz w:val="16"/>
                <w:szCs w:val="16"/>
                <w:highlight w:val="green"/>
              </w:rPr>
              <w:t>[DOPLNÍ PRODÁVAJÍCÍ</w:t>
            </w:r>
            <w:r w:rsidRPr="00C1005F">
              <w:rPr>
                <w:sz w:val="16"/>
                <w:szCs w:val="16"/>
              </w:rPr>
              <w:t>]</w:t>
            </w:r>
          </w:p>
        </w:tc>
      </w:tr>
      <w:tr w:rsidR="00B40A66" w:rsidRPr="0050706D" w14:paraId="6D92F2B7" w14:textId="77777777" w:rsidTr="00840B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75E916F5" w14:textId="049119DA" w:rsidR="00B40A66" w:rsidRPr="00E539AF" w:rsidRDefault="00384EC7" w:rsidP="00B40A66">
            <w:pPr>
              <w:spacing w:after="160" w:line="259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lastRenderedPageBreak/>
              <w:t>Podpora</w:t>
            </w:r>
          </w:p>
          <w:p w14:paraId="366380D1" w14:textId="77777777" w:rsidR="00B40A66" w:rsidRPr="00E539AF" w:rsidRDefault="00B40A66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874" w:type="dxa"/>
          </w:tcPr>
          <w:p w14:paraId="3E366DFB" w14:textId="5458E082" w:rsidR="00B40A66" w:rsidRPr="00E539AF" w:rsidRDefault="00B40A66" w:rsidP="00B40A66">
            <w:pPr>
              <w:pStyle w:val="Odstavecseseznamem"/>
              <w:numPr>
                <w:ilvl w:val="0"/>
                <w:numId w:val="39"/>
              </w:num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SW podpora, která umožňuje např. přístup k novým verzím FW, opravným patchům atd.</w:t>
            </w:r>
          </w:p>
          <w:p w14:paraId="2251A9BE" w14:textId="77777777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1E9B35E" w14:textId="53B54A90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1005F">
              <w:rPr>
                <w:sz w:val="16"/>
                <w:szCs w:val="16"/>
                <w:highlight w:val="green"/>
              </w:rPr>
              <w:t>[DOPLNÍ PRODÁVAJÍCÍ</w:t>
            </w:r>
            <w:r w:rsidRPr="00C1005F">
              <w:rPr>
                <w:sz w:val="16"/>
                <w:szCs w:val="16"/>
              </w:rPr>
              <w:t>]</w:t>
            </w:r>
          </w:p>
        </w:tc>
      </w:tr>
    </w:tbl>
    <w:p w14:paraId="341FA126" w14:textId="77777777" w:rsidR="00490F2A" w:rsidRDefault="00490F2A" w:rsidP="00840BC7">
      <w:pPr>
        <w:spacing w:after="160" w:line="259" w:lineRule="auto"/>
      </w:pPr>
    </w:p>
    <w:p w14:paraId="0B4BF2DD" w14:textId="77777777" w:rsidR="000E00D4" w:rsidRPr="00291870" w:rsidRDefault="000E00D4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  <w:u w:val="single"/>
        </w:rPr>
      </w:pPr>
      <w:r w:rsidRPr="00A17A0F">
        <w:rPr>
          <w:rFonts w:asciiTheme="majorHAnsi" w:eastAsia="Times New Roman" w:hAnsiTheme="majorHAnsi" w:cs="Arial"/>
          <w:bCs/>
          <w:iCs/>
        </w:rPr>
        <w:t xml:space="preserve">     </w:t>
      </w:r>
      <w:r w:rsidRPr="00291870">
        <w:rPr>
          <w:rFonts w:asciiTheme="majorHAnsi" w:eastAsia="Times New Roman" w:hAnsiTheme="majorHAnsi" w:cs="Arial"/>
          <w:bCs/>
          <w:iCs/>
          <w:u w:val="single"/>
        </w:rPr>
        <w:t>Instalační materiál</w:t>
      </w:r>
    </w:p>
    <w:p w14:paraId="7BB0CEA4" w14:textId="48F44223" w:rsidR="000E00D4" w:rsidRPr="00291870" w:rsidRDefault="000E00D4" w:rsidP="000E00D4">
      <w:pPr>
        <w:pStyle w:val="Odstavecseseznamem"/>
        <w:numPr>
          <w:ilvl w:val="0"/>
          <w:numId w:val="35"/>
        </w:numPr>
        <w:spacing w:after="160" w:line="259" w:lineRule="auto"/>
        <w:ind w:hanging="356"/>
      </w:pPr>
      <w:r w:rsidRPr="00291870">
        <w:t>24x minimálně 5m optický patch kabel MM LC</w:t>
      </w:r>
      <w:r w:rsidR="00291870" w:rsidRPr="00291870">
        <w:t>/</w:t>
      </w:r>
      <w:r w:rsidRPr="00291870">
        <w:t>LC OM4</w:t>
      </w:r>
    </w:p>
    <w:p w14:paraId="48F458EC" w14:textId="3F5434D0" w:rsidR="000E00D4" w:rsidRPr="00291870" w:rsidRDefault="00291870" w:rsidP="000E00D4">
      <w:pPr>
        <w:pStyle w:val="Odstavecseseznamem"/>
        <w:numPr>
          <w:ilvl w:val="0"/>
          <w:numId w:val="35"/>
        </w:numPr>
        <w:spacing w:after="160" w:line="259" w:lineRule="auto"/>
        <w:ind w:hanging="356"/>
      </w:pPr>
      <w:r w:rsidRPr="00291870">
        <w:t>34</w:t>
      </w:r>
      <w:r w:rsidR="000E00D4" w:rsidRPr="00291870">
        <w:t xml:space="preserve">x </w:t>
      </w:r>
      <w:r w:rsidRPr="00291870">
        <w:t>minimálně 5m optický patch kabel pro propojení FC</w:t>
      </w:r>
      <w:r w:rsidR="000E00D4" w:rsidRPr="00291870">
        <w:t xml:space="preserve"> </w:t>
      </w:r>
    </w:p>
    <w:p w14:paraId="61042C93" w14:textId="77777777" w:rsidR="000E00D4" w:rsidRPr="00291870" w:rsidRDefault="000E00D4" w:rsidP="000E00D4">
      <w:pPr>
        <w:pStyle w:val="Odstavecseseznamem"/>
        <w:numPr>
          <w:ilvl w:val="0"/>
          <w:numId w:val="35"/>
        </w:numPr>
        <w:spacing w:after="160" w:line="259" w:lineRule="auto"/>
        <w:ind w:hanging="356"/>
      </w:pPr>
      <w:r w:rsidRPr="00291870">
        <w:t>Kabeláž pro připojení managementu dodaného Hardware</w:t>
      </w:r>
    </w:p>
    <w:p w14:paraId="782EF13E" w14:textId="77777777" w:rsidR="000E00D4" w:rsidRPr="00291870" w:rsidRDefault="000E00D4" w:rsidP="000E00D4">
      <w:pPr>
        <w:pStyle w:val="Odstavecseseznamem"/>
        <w:numPr>
          <w:ilvl w:val="0"/>
          <w:numId w:val="35"/>
        </w:numPr>
        <w:spacing w:after="160" w:line="259" w:lineRule="auto"/>
        <w:ind w:hanging="356"/>
      </w:pPr>
      <w:r w:rsidRPr="00291870">
        <w:t>Materiál pro montáž dodaného Hardware do racku</w:t>
      </w:r>
    </w:p>
    <w:p w14:paraId="3BE9E2AA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  <w:u w:val="single"/>
        </w:rPr>
        <w:t>K</w:t>
      </w:r>
      <w:r w:rsidRPr="00A17A0F">
        <w:rPr>
          <w:rFonts w:asciiTheme="majorHAnsi" w:eastAsia="Times New Roman" w:hAnsiTheme="majorHAnsi" w:cs="Times New Roman"/>
          <w:u w:val="single"/>
        </w:rPr>
        <w:t>valita a specifikace Hardware:</w:t>
      </w:r>
      <w:r w:rsidRPr="00221465">
        <w:rPr>
          <w:rFonts w:asciiTheme="majorHAnsi" w:eastAsia="Times New Roman" w:hAnsiTheme="majorHAnsi" w:cs="Times New Roman"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16A97970" w14:textId="77777777" w:rsidR="000E00D4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A17A0F">
        <w:rPr>
          <w:rFonts w:asciiTheme="majorHAnsi" w:eastAsia="Times New Roman" w:hAnsiTheme="majorHAnsi" w:cs="Arial"/>
          <w:bCs/>
          <w:iCs/>
          <w:u w:val="single"/>
        </w:rPr>
        <w:t>Specifikace dalšího zařízení, které je součástí Plnění:</w:t>
      </w:r>
      <w:r w:rsidRPr="00221465">
        <w:rPr>
          <w:rFonts w:asciiTheme="majorHAnsi" w:eastAsia="Times New Roman" w:hAnsiTheme="majorHAnsi" w:cs="Arial"/>
          <w:bCs/>
          <w:iCs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7EA483D1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0861E9BB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technickou dokumentaci Hardware a Software;</w:t>
      </w:r>
    </w:p>
    <w:p w14:paraId="2F5067B4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návod k obsluze;</w:t>
      </w:r>
    </w:p>
    <w:p w14:paraId="3AA723C8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prohlášení výrobce o shodě;</w:t>
      </w:r>
    </w:p>
    <w:p w14:paraId="39147CC2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Dodací list;</w:t>
      </w:r>
    </w:p>
    <w:p w14:paraId="6202F4CB" w14:textId="77777777" w:rsidR="000E00D4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  <w:r w:rsidRPr="00221465">
        <w:rPr>
          <w:rFonts w:asciiTheme="majorHAnsi" w:eastAsia="Times New Roman" w:hAnsiTheme="majorHAnsi" w:cs="Times New Roman"/>
        </w:rPr>
        <w:t>.</w:t>
      </w:r>
    </w:p>
    <w:p w14:paraId="5EE451D3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Instalace hardware</w:t>
      </w:r>
      <w:bookmarkEnd w:id="4"/>
      <w:bookmarkEnd w:id="5"/>
      <w:bookmarkEnd w:id="6"/>
      <w:bookmarkEnd w:id="7"/>
    </w:p>
    <w:p w14:paraId="1647CD5D" w14:textId="77777777" w:rsidR="00B623EA" w:rsidRPr="006309C9" w:rsidRDefault="00B623EA" w:rsidP="00B623EA">
      <w:pPr>
        <w:keepNext/>
        <w:keepLines/>
        <w:tabs>
          <w:tab w:val="center" w:pos="2412"/>
        </w:tabs>
        <w:spacing w:before="240" w:after="120" w:line="266" w:lineRule="auto"/>
        <w:ind w:left="-17" w:firstLine="17"/>
        <w:outlineLvl w:val="0"/>
        <w:rPr>
          <w:rFonts w:eastAsia="Calibri" w:cs="Times New Roman"/>
        </w:rPr>
      </w:pPr>
      <w:bookmarkStart w:id="9" w:name="_Toc517632208"/>
      <w:bookmarkStart w:id="10" w:name="_Toc517978985"/>
      <w:bookmarkStart w:id="11" w:name="_Toc518251182"/>
      <w:bookmarkStart w:id="12" w:name="_Toc533063758"/>
      <w:r w:rsidRPr="006309C9">
        <w:rPr>
          <w:rFonts w:eastAsia="Calibri" w:cs="Times New Roman"/>
        </w:rPr>
        <w:t xml:space="preserve">Instalace dodaného </w:t>
      </w:r>
      <w:r>
        <w:rPr>
          <w:rFonts w:eastAsia="Calibri" w:cs="Times New Roman"/>
        </w:rPr>
        <w:t>Hardware</w:t>
      </w:r>
      <w:r w:rsidRPr="006309C9">
        <w:rPr>
          <w:rFonts w:eastAsia="Calibri" w:cs="Times New Roman"/>
        </w:rPr>
        <w:t xml:space="preserve"> v lokalitě </w:t>
      </w:r>
    </w:p>
    <w:p w14:paraId="5B9E319D" w14:textId="77777777" w:rsidR="00B623EA" w:rsidRPr="006309C9" w:rsidRDefault="00B623EA" w:rsidP="00B623EA">
      <w:pPr>
        <w:pStyle w:val="Odstavecseseznamem"/>
        <w:numPr>
          <w:ilvl w:val="0"/>
          <w:numId w:val="35"/>
        </w:numPr>
        <w:spacing w:after="160" w:line="259" w:lineRule="auto"/>
        <w:ind w:hanging="356"/>
      </w:pPr>
      <w:r w:rsidRPr="006309C9">
        <w:t xml:space="preserve">Montáž dodaného </w:t>
      </w:r>
      <w:r>
        <w:t>Hardware</w:t>
      </w:r>
      <w:r w:rsidRPr="006309C9">
        <w:t xml:space="preserve"> do racku zadavatele naplánována jako postupná pro zajištění </w:t>
      </w:r>
      <w:proofErr w:type="spellStart"/>
      <w:r w:rsidRPr="006309C9">
        <w:t>bezvýpadkového</w:t>
      </w:r>
      <w:proofErr w:type="spellEnd"/>
      <w:r w:rsidRPr="006309C9">
        <w:t xml:space="preserve"> provozu farmy</w:t>
      </w:r>
    </w:p>
    <w:p w14:paraId="5EE24327" w14:textId="77777777" w:rsidR="00B623EA" w:rsidRPr="006309C9" w:rsidRDefault="00B623EA" w:rsidP="00B623EA">
      <w:pPr>
        <w:pStyle w:val="Odstavecseseznamem"/>
        <w:numPr>
          <w:ilvl w:val="0"/>
          <w:numId w:val="36"/>
        </w:numPr>
        <w:spacing w:after="160" w:line="259" w:lineRule="auto"/>
        <w:ind w:firstLine="632"/>
      </w:pPr>
      <w:r w:rsidRPr="006309C9">
        <w:t>Servery pro virtualizaci</w:t>
      </w:r>
    </w:p>
    <w:p w14:paraId="29371752" w14:textId="77777777" w:rsidR="00B623EA" w:rsidRPr="006309C9" w:rsidRDefault="00B623EA" w:rsidP="00B623EA">
      <w:pPr>
        <w:pStyle w:val="Odstavecseseznamem"/>
        <w:numPr>
          <w:ilvl w:val="0"/>
          <w:numId w:val="36"/>
        </w:numPr>
        <w:spacing w:after="160" w:line="259" w:lineRule="auto"/>
        <w:ind w:firstLine="632"/>
      </w:pPr>
      <w:r w:rsidRPr="006309C9">
        <w:t>Diskové pole</w:t>
      </w:r>
    </w:p>
    <w:p w14:paraId="41866AB3" w14:textId="77777777" w:rsidR="00B623EA" w:rsidRPr="006309C9" w:rsidRDefault="00B623EA" w:rsidP="00B623EA">
      <w:pPr>
        <w:pStyle w:val="Odstavecseseznamem"/>
        <w:numPr>
          <w:ilvl w:val="0"/>
          <w:numId w:val="35"/>
        </w:numPr>
        <w:spacing w:after="160" w:line="259" w:lineRule="auto"/>
        <w:ind w:hanging="356"/>
      </w:pPr>
      <w:r w:rsidRPr="006309C9">
        <w:t xml:space="preserve">Konfigurace dodaného </w:t>
      </w:r>
      <w:r>
        <w:t>Hardware</w:t>
      </w:r>
      <w:r w:rsidRPr="006309C9">
        <w:t xml:space="preserve"> do prostředí zadavatele</w:t>
      </w:r>
    </w:p>
    <w:p w14:paraId="5CB81A8F" w14:textId="45D4805C" w:rsidR="00B623EA" w:rsidRPr="006309C9" w:rsidRDefault="00B623EA" w:rsidP="00B623EA">
      <w:pPr>
        <w:pStyle w:val="Odstavecseseznamem"/>
        <w:numPr>
          <w:ilvl w:val="0"/>
          <w:numId w:val="35"/>
        </w:numPr>
        <w:spacing w:after="120" w:line="259" w:lineRule="auto"/>
        <w:ind w:left="1276" w:hanging="357"/>
      </w:pPr>
      <w:r w:rsidRPr="006309C9">
        <w:t xml:space="preserve">Demontáž stávajícího </w:t>
      </w:r>
      <w:r w:rsidR="00174BE9">
        <w:t>hardware (stávajících serverů)</w:t>
      </w:r>
    </w:p>
    <w:p w14:paraId="1DDFCF5F" w14:textId="77777777" w:rsidR="00B623EA" w:rsidRPr="006309C9" w:rsidRDefault="00B623EA" w:rsidP="00B623EA">
      <w:pPr>
        <w:keepNext/>
        <w:keepLines/>
        <w:spacing w:after="120" w:line="266" w:lineRule="auto"/>
        <w:ind w:left="-6" w:hanging="420"/>
        <w:outlineLvl w:val="0"/>
        <w:rPr>
          <w:rFonts w:eastAsia="Calibri" w:cs="Times New Roman"/>
        </w:rPr>
      </w:pPr>
      <w:r w:rsidRPr="006309C9">
        <w:rPr>
          <w:rFonts w:eastAsia="Calibri" w:cs="Times New Roman"/>
        </w:rPr>
        <w:tab/>
        <w:t xml:space="preserve">Instalace a konfigurace virtualizace dle požadavků zadavatele </w:t>
      </w:r>
    </w:p>
    <w:p w14:paraId="2E2326CF" w14:textId="77777777" w:rsidR="00B623EA" w:rsidRPr="006309C9" w:rsidRDefault="00B623EA" w:rsidP="00B623EA">
      <w:pPr>
        <w:pStyle w:val="Odstavecseseznamem"/>
        <w:numPr>
          <w:ilvl w:val="0"/>
          <w:numId w:val="35"/>
        </w:numPr>
        <w:spacing w:after="160" w:line="259" w:lineRule="auto"/>
        <w:ind w:hanging="356"/>
      </w:pPr>
      <w:r w:rsidRPr="006309C9">
        <w:t>Instalace virtualizační platformy včetně začlenění do stávající virtualizace</w:t>
      </w:r>
    </w:p>
    <w:p w14:paraId="1594AEFD" w14:textId="77777777" w:rsidR="00B623EA" w:rsidRPr="006309C9" w:rsidRDefault="00B623EA" w:rsidP="00B623EA">
      <w:pPr>
        <w:pStyle w:val="Odstavecseseznamem"/>
        <w:numPr>
          <w:ilvl w:val="0"/>
          <w:numId w:val="35"/>
        </w:numPr>
        <w:spacing w:after="160" w:line="259" w:lineRule="auto"/>
        <w:ind w:hanging="356"/>
      </w:pPr>
      <w:r w:rsidRPr="006309C9">
        <w:t xml:space="preserve">Konfigurace </w:t>
      </w:r>
      <w:proofErr w:type="spellStart"/>
      <w:r w:rsidRPr="006309C9">
        <w:t>vSphere</w:t>
      </w:r>
      <w:proofErr w:type="spellEnd"/>
      <w:r w:rsidRPr="006309C9">
        <w:t xml:space="preserve"> </w:t>
      </w:r>
      <w:proofErr w:type="spellStart"/>
      <w:r w:rsidRPr="006309C9">
        <w:t>hypervizoru</w:t>
      </w:r>
      <w:proofErr w:type="spellEnd"/>
    </w:p>
    <w:p w14:paraId="0409E6F2" w14:textId="77777777" w:rsidR="00B623EA" w:rsidRPr="006309C9" w:rsidRDefault="00B623EA" w:rsidP="00B623EA">
      <w:pPr>
        <w:pStyle w:val="Odstavecseseznamem"/>
        <w:numPr>
          <w:ilvl w:val="0"/>
          <w:numId w:val="35"/>
        </w:numPr>
        <w:spacing w:after="160" w:line="259" w:lineRule="auto"/>
        <w:ind w:hanging="356"/>
      </w:pPr>
      <w:r w:rsidRPr="006309C9">
        <w:t>Odebrání stávajících serverů z virtualizačního clusteru</w:t>
      </w:r>
    </w:p>
    <w:p w14:paraId="0AED8CE3" w14:textId="77777777" w:rsidR="00B623EA" w:rsidRPr="006309C9" w:rsidRDefault="00B623EA" w:rsidP="00B623EA">
      <w:pPr>
        <w:keepNext/>
        <w:keepLines/>
        <w:spacing w:after="120" w:line="266" w:lineRule="auto"/>
        <w:ind w:left="-6" w:hanging="420"/>
        <w:outlineLvl w:val="0"/>
        <w:rPr>
          <w:rFonts w:eastAsia="Calibri" w:cs="Times New Roman"/>
        </w:rPr>
      </w:pPr>
      <w:r w:rsidRPr="006309C9">
        <w:rPr>
          <w:rFonts w:eastAsia="Calibri" w:cs="Times New Roman"/>
        </w:rPr>
        <w:tab/>
        <w:t xml:space="preserve">Migrace VM z původní virtualizace </w:t>
      </w:r>
    </w:p>
    <w:p w14:paraId="56429211" w14:textId="77777777" w:rsidR="00B623EA" w:rsidRDefault="00B623EA" w:rsidP="00B623EA">
      <w:pPr>
        <w:pStyle w:val="Odstavecseseznamem"/>
        <w:numPr>
          <w:ilvl w:val="0"/>
          <w:numId w:val="35"/>
        </w:numPr>
        <w:spacing w:after="160" w:line="259" w:lineRule="auto"/>
        <w:ind w:hanging="356"/>
      </w:pPr>
      <w:r w:rsidRPr="006309C9">
        <w:t xml:space="preserve">Přesun VM na novou virtualizaci </w:t>
      </w:r>
    </w:p>
    <w:p w14:paraId="13FCDD64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9"/>
      <w:bookmarkEnd w:id="10"/>
      <w:bookmarkEnd w:id="11"/>
      <w:bookmarkEnd w:id="12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6C606E3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Současně s Dodávkou poskytne Prodávající Kupujícímu tento Software (např. firmware, obslužné ovladače a další níže specifikovaný Software): 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2"/>
        <w:gridCol w:w="4093"/>
      </w:tblGrid>
      <w:tr w:rsidR="00087D48" w:rsidRPr="00221465" w14:paraId="535CC00F" w14:textId="77777777" w:rsidTr="00805A75">
        <w:tc>
          <w:tcPr>
            <w:tcW w:w="8720" w:type="dxa"/>
            <w:gridSpan w:val="2"/>
            <w:shd w:val="clear" w:color="auto" w:fill="D9D9D9"/>
          </w:tcPr>
          <w:p w14:paraId="56033032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FF65DD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221465" w14:paraId="7A77B620" w14:textId="77777777" w:rsidTr="00805A75">
        <w:tc>
          <w:tcPr>
            <w:tcW w:w="4346" w:type="dxa"/>
          </w:tcPr>
          <w:p w14:paraId="2840EDBF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4374" w:type="dxa"/>
          </w:tcPr>
          <w:p w14:paraId="5DED7A3F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7053AFD7" w14:textId="77777777" w:rsidTr="00805A75">
        <w:tc>
          <w:tcPr>
            <w:tcW w:w="4346" w:type="dxa"/>
          </w:tcPr>
          <w:p w14:paraId="5D92D166" w14:textId="77777777" w:rsidR="00087D48" w:rsidRPr="00FF65DD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4374" w:type="dxa"/>
          </w:tcPr>
          <w:p w14:paraId="647825EC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7898A202" w14:textId="77777777" w:rsidTr="00805A75">
        <w:tc>
          <w:tcPr>
            <w:tcW w:w="4346" w:type="dxa"/>
          </w:tcPr>
          <w:p w14:paraId="558DB487" w14:textId="77777777" w:rsidR="00087D48" w:rsidRPr="00FF65DD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 xml:space="preserve">popis jakým způsobem budou </w:t>
            </w:r>
            <w:r>
              <w:rPr>
                <w:rFonts w:asciiTheme="majorHAnsi" w:hAnsiTheme="majorHAnsi" w:cs="Arial"/>
                <w:bCs/>
                <w:iCs/>
              </w:rPr>
              <w:t>Kupujícímu</w:t>
            </w:r>
            <w:r w:rsidRPr="00FF65DD">
              <w:rPr>
                <w:rFonts w:asciiTheme="majorHAnsi" w:hAnsiTheme="majorHAnsi" w:cs="Arial"/>
                <w:bCs/>
                <w:iCs/>
              </w:rPr>
              <w:t xml:space="preserve"> zajištěny aktualizace Software </w:t>
            </w:r>
          </w:p>
        </w:tc>
        <w:tc>
          <w:tcPr>
            <w:tcW w:w="4374" w:type="dxa"/>
          </w:tcPr>
          <w:p w14:paraId="38538EC3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128C1865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3" w:name="_Toc517632209"/>
      <w:bookmarkStart w:id="14" w:name="_Toc517978986"/>
      <w:bookmarkStart w:id="15" w:name="_Toc518251183"/>
      <w:bookmarkStart w:id="16" w:name="_Toc533063759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>Školení</w:t>
      </w:r>
      <w:bookmarkStart w:id="17" w:name="_Toc517632210"/>
      <w:bookmarkStart w:id="18" w:name="_Toc517978987"/>
      <w:bookmarkStart w:id="19" w:name="_Toc518251184"/>
      <w:bookmarkStart w:id="20" w:name="_Toc533063760"/>
      <w:bookmarkEnd w:id="13"/>
      <w:bookmarkEnd w:id="14"/>
      <w:bookmarkEnd w:id="15"/>
      <w:bookmarkEnd w:id="16"/>
    </w:p>
    <w:p w14:paraId="19519E66" w14:textId="77777777" w:rsidR="00501E7E" w:rsidRPr="00501E7E" w:rsidRDefault="00501E7E" w:rsidP="00501E7E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501E7E">
        <w:rPr>
          <w:rFonts w:asciiTheme="majorHAnsi" w:eastAsia="Times New Roman" w:hAnsiTheme="majorHAnsi" w:cs="Times New Roman"/>
        </w:rPr>
        <w:t>Školení není součástí zakázky.</w:t>
      </w:r>
    </w:p>
    <w:p w14:paraId="7ED574D2" w14:textId="3400AF4B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Akceptační řízení</w:t>
      </w:r>
      <w:bookmarkEnd w:id="17"/>
      <w:bookmarkEnd w:id="18"/>
      <w:bookmarkEnd w:id="19"/>
      <w:bookmarkEnd w:id="20"/>
    </w:p>
    <w:p w14:paraId="21C826B6" w14:textId="77777777" w:rsidR="00950F03" w:rsidRPr="00950F03" w:rsidRDefault="00501E7E" w:rsidP="00950F03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eastAsia="Calibri" w:cs="Times New Roman"/>
        </w:rPr>
      </w:pPr>
      <w:r>
        <w:rPr>
          <w:rFonts w:asciiTheme="majorHAnsi" w:eastAsia="Times New Roman" w:hAnsiTheme="majorHAnsi" w:cs="Arial"/>
          <w:bCs/>
          <w:iCs/>
        </w:rPr>
        <w:tab/>
      </w:r>
    </w:p>
    <w:p w14:paraId="745D29F7" w14:textId="0170A096" w:rsidR="00950F03" w:rsidRPr="00950F03" w:rsidRDefault="00950F03" w:rsidP="00950F03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eastAsia="Calibri" w:cs="Times New Roman"/>
        </w:rPr>
      </w:pPr>
      <w:r w:rsidRPr="00950F03">
        <w:rPr>
          <w:rFonts w:eastAsia="Calibri" w:cs="Times New Roman"/>
        </w:rPr>
        <w:t xml:space="preserve">Podmínky akceptačního řízení dle čl. 8 Zvláštních obchodních podmínek se neuplatní. O předání a </w:t>
      </w:r>
      <w:proofErr w:type="gramStart"/>
      <w:r w:rsidRPr="00950F03">
        <w:rPr>
          <w:rFonts w:eastAsia="Calibri" w:cs="Times New Roman"/>
        </w:rPr>
        <w:t>převzetí  Hardware</w:t>
      </w:r>
      <w:proofErr w:type="gramEnd"/>
      <w:r w:rsidRPr="00950F03">
        <w:rPr>
          <w:rFonts w:eastAsia="Calibri" w:cs="Times New Roman"/>
        </w:rPr>
        <w:t xml:space="preserve"> dle čl. 2 této přílohy bude sepsán a oboustranně podepsán předávací protokol o dodání Hardware</w:t>
      </w:r>
      <w:r>
        <w:rPr>
          <w:rFonts w:eastAsia="Calibri" w:cs="Times New Roman"/>
        </w:rPr>
        <w:t xml:space="preserve">, a to po </w:t>
      </w:r>
      <w:r w:rsidR="00174BE9">
        <w:rPr>
          <w:rFonts w:eastAsia="Calibri" w:cs="Times New Roman"/>
        </w:rPr>
        <w:t>instalaci</w:t>
      </w:r>
      <w:r w:rsidR="00174BE9" w:rsidRPr="00174BE9">
        <w:rPr>
          <w:rFonts w:eastAsia="Calibri" w:cs="Times New Roman"/>
        </w:rPr>
        <w:t xml:space="preserve"> dodaného Hardware v lokalitě</w:t>
      </w:r>
      <w:r w:rsidRPr="00950F03">
        <w:rPr>
          <w:rFonts w:eastAsia="Calibri" w:cs="Times New Roman"/>
        </w:rPr>
        <w:t>.</w:t>
      </w:r>
    </w:p>
    <w:p w14:paraId="5DEF90CD" w14:textId="33E394B9" w:rsidR="00087D48" w:rsidRPr="00221465" w:rsidRDefault="00950F03" w:rsidP="00950F03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u w:val="single"/>
        </w:rPr>
      </w:pPr>
      <w:r w:rsidRPr="00950F03">
        <w:rPr>
          <w:rFonts w:eastAsia="Calibri" w:cs="Times New Roman"/>
        </w:rPr>
        <w:t>O provedení a akceptaci Služeb dle čl. 6 této přílohy bude sepsán akceptační protokol.</w:t>
      </w:r>
    </w:p>
    <w:p w14:paraId="4A92F3B2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21" w:name="_Toc517632211"/>
      <w:bookmarkStart w:id="22" w:name="_Toc517978988"/>
      <w:bookmarkStart w:id="23" w:name="_Toc518251185"/>
      <w:bookmarkStart w:id="24" w:name="_Toc533063761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Služby</w:t>
      </w:r>
      <w:bookmarkEnd w:id="21"/>
      <w:bookmarkEnd w:id="22"/>
      <w:bookmarkEnd w:id="23"/>
      <w:bookmarkEnd w:id="24"/>
    </w:p>
    <w:p w14:paraId="029BCABC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bookmarkStart w:id="25" w:name="_Ref514349626"/>
      <w:r w:rsidRPr="00221465">
        <w:rPr>
          <w:rFonts w:asciiTheme="majorHAnsi" w:eastAsia="Times New Roman" w:hAnsiTheme="majorHAnsi" w:cs="Arial"/>
          <w:bCs/>
          <w:iCs/>
        </w:rPr>
        <w:t>Na základě Smlouvy je Prodávající povinen poskytnout Kupující</w:t>
      </w:r>
      <w:r>
        <w:rPr>
          <w:rFonts w:asciiTheme="majorHAnsi" w:eastAsia="Times New Roman" w:hAnsiTheme="majorHAnsi" w:cs="Arial"/>
          <w:bCs/>
          <w:iCs/>
        </w:rPr>
        <w:t>mu</w:t>
      </w:r>
      <w:r w:rsidRPr="00221465">
        <w:rPr>
          <w:rFonts w:asciiTheme="majorHAnsi" w:eastAsia="Times New Roman" w:hAnsiTheme="majorHAnsi" w:cs="Arial"/>
          <w:bCs/>
          <w:iCs/>
        </w:rPr>
        <w:t xml:space="preserve"> následující Služby:</w:t>
      </w:r>
      <w:bookmarkEnd w:id="25"/>
    </w:p>
    <w:p w14:paraId="5EEBD39A" w14:textId="77777777" w:rsidR="00501E7E" w:rsidRPr="00501E7E" w:rsidRDefault="00501E7E" w:rsidP="00501E7E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Times New Roman"/>
        </w:rPr>
      </w:pPr>
      <w:bookmarkStart w:id="26" w:name="_Toc517632213"/>
      <w:bookmarkStart w:id="27" w:name="_Toc517978990"/>
      <w:bookmarkStart w:id="28" w:name="_Toc518251187"/>
      <w:bookmarkStart w:id="29" w:name="_Toc533063763"/>
      <w:r w:rsidRPr="00501E7E">
        <w:rPr>
          <w:rFonts w:asciiTheme="majorHAnsi" w:eastAsia="Times New Roman" w:hAnsiTheme="majorHAnsi" w:cs="Times New Roman"/>
        </w:rPr>
        <w:t xml:space="preserve">Instalace a konfigurace virtualizace dle požadavků zadavatele </w:t>
      </w:r>
    </w:p>
    <w:p w14:paraId="761659FE" w14:textId="77777777" w:rsidR="00501E7E" w:rsidRDefault="00501E7E" w:rsidP="00501E7E">
      <w:pPr>
        <w:pStyle w:val="Odstavecseseznamem"/>
        <w:keepNext/>
        <w:numPr>
          <w:ilvl w:val="0"/>
          <w:numId w:val="3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</w:rPr>
      </w:pPr>
      <w:r w:rsidRPr="00501E7E">
        <w:rPr>
          <w:rFonts w:asciiTheme="majorHAnsi" w:eastAsia="Times New Roman" w:hAnsiTheme="majorHAnsi" w:cs="Times New Roman"/>
        </w:rPr>
        <w:t>Instalace virtualizační platformy včetně začlenění do stávající virtualizace</w:t>
      </w:r>
    </w:p>
    <w:p w14:paraId="49800684" w14:textId="77777777" w:rsidR="00501E7E" w:rsidRDefault="00501E7E" w:rsidP="00501E7E">
      <w:pPr>
        <w:pStyle w:val="Odstavecseseznamem"/>
        <w:keepNext/>
        <w:numPr>
          <w:ilvl w:val="0"/>
          <w:numId w:val="3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</w:rPr>
      </w:pPr>
      <w:r w:rsidRPr="00501E7E">
        <w:rPr>
          <w:rFonts w:asciiTheme="majorHAnsi" w:eastAsia="Times New Roman" w:hAnsiTheme="majorHAnsi" w:cs="Times New Roman"/>
        </w:rPr>
        <w:t xml:space="preserve">Konfigurace </w:t>
      </w:r>
      <w:proofErr w:type="spellStart"/>
      <w:r w:rsidRPr="00501E7E">
        <w:rPr>
          <w:rFonts w:asciiTheme="majorHAnsi" w:eastAsia="Times New Roman" w:hAnsiTheme="majorHAnsi" w:cs="Times New Roman"/>
        </w:rPr>
        <w:t>vSphere</w:t>
      </w:r>
      <w:proofErr w:type="spellEnd"/>
      <w:r w:rsidRPr="00501E7E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501E7E">
        <w:rPr>
          <w:rFonts w:asciiTheme="majorHAnsi" w:eastAsia="Times New Roman" w:hAnsiTheme="majorHAnsi" w:cs="Times New Roman"/>
        </w:rPr>
        <w:t>hypervizoru</w:t>
      </w:r>
      <w:proofErr w:type="spellEnd"/>
    </w:p>
    <w:p w14:paraId="54CDE8F0" w14:textId="370EAFEE" w:rsidR="00501E7E" w:rsidRPr="00501E7E" w:rsidRDefault="00501E7E" w:rsidP="00501E7E">
      <w:pPr>
        <w:pStyle w:val="Odstavecseseznamem"/>
        <w:keepNext/>
        <w:numPr>
          <w:ilvl w:val="0"/>
          <w:numId w:val="3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</w:rPr>
      </w:pPr>
      <w:r w:rsidRPr="00501E7E">
        <w:rPr>
          <w:rFonts w:asciiTheme="majorHAnsi" w:eastAsia="Times New Roman" w:hAnsiTheme="majorHAnsi" w:cs="Times New Roman"/>
        </w:rPr>
        <w:t>Odebrání stávajících serverů z virtualizačního clusteru</w:t>
      </w:r>
    </w:p>
    <w:p w14:paraId="7A6E21CA" w14:textId="4F86D39D" w:rsidR="00501E7E" w:rsidRPr="00501E7E" w:rsidRDefault="00501E7E" w:rsidP="00501E7E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Times New Roman"/>
        </w:rPr>
      </w:pPr>
      <w:r w:rsidRPr="00501E7E">
        <w:rPr>
          <w:rFonts w:asciiTheme="majorHAnsi" w:eastAsia="Times New Roman" w:hAnsiTheme="majorHAnsi" w:cs="Times New Roman"/>
        </w:rPr>
        <w:t xml:space="preserve">Migrace VM z původní virtualizace </w:t>
      </w:r>
    </w:p>
    <w:p w14:paraId="50539407" w14:textId="77777777" w:rsidR="00501E7E" w:rsidRPr="00501E7E" w:rsidRDefault="00501E7E" w:rsidP="00501E7E">
      <w:pPr>
        <w:pStyle w:val="Odstavecseseznamem"/>
        <w:keepNext/>
        <w:numPr>
          <w:ilvl w:val="0"/>
          <w:numId w:val="3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</w:rPr>
      </w:pPr>
      <w:r w:rsidRPr="00501E7E">
        <w:rPr>
          <w:rFonts w:asciiTheme="majorHAnsi" w:eastAsia="Times New Roman" w:hAnsiTheme="majorHAnsi" w:cs="Times New Roman"/>
        </w:rPr>
        <w:t xml:space="preserve">Přesun VM na novou virtualizaci </w:t>
      </w:r>
    </w:p>
    <w:bookmarkEnd w:id="26"/>
    <w:bookmarkEnd w:id="27"/>
    <w:bookmarkEnd w:id="28"/>
    <w:bookmarkEnd w:id="29"/>
    <w:p w14:paraId="080953A9" w14:textId="5B69EE07" w:rsidR="009F392E" w:rsidRPr="00F0533E" w:rsidRDefault="009F392E" w:rsidP="00501E7E">
      <w:pPr>
        <w:ind w:firstLine="567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EB3FC" w16cex:dateUtc="2023-07-04T13:06:00Z"/>
  <w16cex:commentExtensible w16cex:durableId="284EB456" w16cex:dateUtc="2023-07-04T13:08:00Z"/>
  <w16cex:commentExtensible w16cex:durableId="284EB48B" w16cex:dateUtc="2023-07-04T13:08:00Z"/>
  <w16cex:commentExtensible w16cex:durableId="284EB40A" w16cex:dateUtc="2023-07-04T13:06:00Z"/>
  <w16cex:commentExtensible w16cex:durableId="284EB413" w16cex:dateUtc="2023-07-04T13:06:00Z"/>
  <w16cex:commentExtensible w16cex:durableId="284EB49A" w16cex:dateUtc="2023-07-04T13:09:00Z"/>
  <w16cex:commentExtensible w16cex:durableId="284EB4A1" w16cex:dateUtc="2023-07-04T13:09:00Z"/>
  <w16cex:commentExtensible w16cex:durableId="284EB4CE" w16cex:dateUtc="2023-07-04T13:10:00Z"/>
  <w16cex:commentExtensible w16cex:durableId="284EB527" w16cex:dateUtc="2023-07-04T13:11:00Z"/>
  <w16cex:commentExtensible w16cex:durableId="284EB52D" w16cex:dateUtc="2023-07-04T13:11:00Z"/>
  <w16cex:commentExtensible w16cex:durableId="284EB589" w16cex:dateUtc="2023-07-04T13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D2BF" w14:textId="77777777" w:rsidR="00292451" w:rsidRDefault="00292451" w:rsidP="00962258">
      <w:pPr>
        <w:spacing w:after="0" w:line="240" w:lineRule="auto"/>
      </w:pPr>
      <w:r>
        <w:separator/>
      </w:r>
    </w:p>
  </w:endnote>
  <w:endnote w:type="continuationSeparator" w:id="0">
    <w:p w14:paraId="33D4C354" w14:textId="77777777" w:rsidR="00292451" w:rsidRDefault="002924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83DE8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0B759F" w14:textId="4478DED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AC0C8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68B67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12CA18A" w14:textId="77777777" w:rsidR="00F1715C" w:rsidRDefault="00F1715C" w:rsidP="00D831A3">
          <w:pPr>
            <w:pStyle w:val="Zpat"/>
          </w:pPr>
        </w:p>
      </w:tc>
    </w:tr>
  </w:tbl>
  <w:p w14:paraId="6A07878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D054A79" wp14:editId="7F06F4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E1858A" wp14:editId="0ECCEC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A851B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9C360" w14:textId="663C43D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A8EB4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55EAF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24C59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BD68A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665BCD7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180A77F3" w14:textId="77777777" w:rsidR="00F1715C" w:rsidRDefault="00F1715C" w:rsidP="00460660">
          <w:pPr>
            <w:pStyle w:val="Zpat"/>
          </w:pPr>
        </w:p>
      </w:tc>
    </w:tr>
  </w:tbl>
  <w:p w14:paraId="285381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19DB5FF" wp14:editId="6A5BB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0AAED3" wp14:editId="20E1B1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ACD7B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9A477" w14:textId="77777777" w:rsidR="00292451" w:rsidRDefault="00292451" w:rsidP="00962258">
      <w:pPr>
        <w:spacing w:after="0" w:line="240" w:lineRule="auto"/>
      </w:pPr>
      <w:r>
        <w:separator/>
      </w:r>
    </w:p>
  </w:footnote>
  <w:footnote w:type="continuationSeparator" w:id="0">
    <w:p w14:paraId="70DAD530" w14:textId="77777777" w:rsidR="00292451" w:rsidRDefault="0029245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48FD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0809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559DF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9A5F5B" w14:textId="77777777" w:rsidR="00F1715C" w:rsidRPr="00D6163D" w:rsidRDefault="00F1715C" w:rsidP="00D6163D">
          <w:pPr>
            <w:pStyle w:val="Druhdokumentu"/>
          </w:pPr>
        </w:p>
      </w:tc>
    </w:tr>
  </w:tbl>
  <w:p w14:paraId="66404FB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6C44A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5A6B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CF1C2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78E169" w14:textId="77777777" w:rsidR="00F1715C" w:rsidRPr="00D6163D" w:rsidRDefault="00F1715C" w:rsidP="00FC6389">
          <w:pPr>
            <w:pStyle w:val="Druhdokumentu"/>
          </w:pPr>
        </w:p>
      </w:tc>
    </w:tr>
    <w:tr w:rsidR="009F392E" w14:paraId="7AA6CE7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357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A0BF9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E3E3CC" w14:textId="77777777" w:rsidR="009F392E" w:rsidRPr="00D6163D" w:rsidRDefault="009F392E" w:rsidP="00FC6389">
          <w:pPr>
            <w:pStyle w:val="Druhdokumentu"/>
          </w:pPr>
        </w:p>
      </w:tc>
    </w:tr>
  </w:tbl>
  <w:p w14:paraId="6C4B295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6A377FC" wp14:editId="283EF0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D03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87F58"/>
    <w:multiLevelType w:val="hybridMultilevel"/>
    <w:tmpl w:val="C0806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129E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E1144A1"/>
    <w:multiLevelType w:val="hybridMultilevel"/>
    <w:tmpl w:val="0A98D4B4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36F41AA"/>
    <w:multiLevelType w:val="hybridMultilevel"/>
    <w:tmpl w:val="BE8480F8"/>
    <w:lvl w:ilvl="0" w:tplc="5C9E7A0E">
      <w:start w:val="5"/>
      <w:numFmt w:val="bullet"/>
      <w:lvlText w:val="-"/>
      <w:lvlJc w:val="left"/>
      <w:pPr>
        <w:ind w:left="1069" w:hanging="360"/>
      </w:pPr>
      <w:rPr>
        <w:rFonts w:ascii="Arial" w:eastAsia="Time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6880362"/>
    <w:multiLevelType w:val="hybridMultilevel"/>
    <w:tmpl w:val="B8C273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16B87"/>
    <w:multiLevelType w:val="hybridMultilevel"/>
    <w:tmpl w:val="DCD2FE4E"/>
    <w:lvl w:ilvl="0" w:tplc="0405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48CAE98C">
      <w:numFmt w:val="bullet"/>
      <w:lvlText w:val=""/>
      <w:lvlJc w:val="left"/>
      <w:pPr>
        <w:ind w:left="1075" w:hanging="705"/>
      </w:pPr>
      <w:rPr>
        <w:rFonts w:ascii="Symbol" w:eastAsiaTheme="minorHAnsi" w:hAnsi="Symbol" w:cstheme="minorBidi" w:hint="default"/>
      </w:rPr>
    </w:lvl>
    <w:lvl w:ilvl="2" w:tplc="04050005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12" w15:restartNumberingAfterBreak="0">
    <w:nsid w:val="564B4270"/>
    <w:multiLevelType w:val="hybridMultilevel"/>
    <w:tmpl w:val="71EAB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510E35"/>
    <w:multiLevelType w:val="hybridMultilevel"/>
    <w:tmpl w:val="A1DC0984"/>
    <w:lvl w:ilvl="0" w:tplc="7A6870AA">
      <w:start w:val="4"/>
      <w:numFmt w:val="bullet"/>
      <w:lvlText w:val="-"/>
      <w:lvlJc w:val="left"/>
      <w:pPr>
        <w:ind w:left="9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00E1392"/>
    <w:multiLevelType w:val="hybridMultilevel"/>
    <w:tmpl w:val="E4E6D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C34412"/>
    <w:multiLevelType w:val="hybridMultilevel"/>
    <w:tmpl w:val="BDFC1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8"/>
  </w:num>
  <w:num w:numId="17">
    <w:abstractNumId w:val="2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8"/>
  </w:num>
  <w:num w:numId="29">
    <w:abstractNumId w:val="2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13"/>
  </w:num>
  <w:num w:numId="37">
    <w:abstractNumId w:val="4"/>
  </w:num>
  <w:num w:numId="38">
    <w:abstractNumId w:val="8"/>
  </w:num>
  <w:num w:numId="39">
    <w:abstractNumId w:val="17"/>
  </w:num>
  <w:num w:numId="40">
    <w:abstractNumId w:val="10"/>
  </w:num>
  <w:num w:numId="41">
    <w:abstractNumId w:val="9"/>
  </w:num>
  <w:num w:numId="42">
    <w:abstractNumId w:val="16"/>
  </w:num>
  <w:num w:numId="4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020D4"/>
    <w:rsid w:val="000258EC"/>
    <w:rsid w:val="00026D60"/>
    <w:rsid w:val="00072C1E"/>
    <w:rsid w:val="000845B5"/>
    <w:rsid w:val="00087D48"/>
    <w:rsid w:val="000942C8"/>
    <w:rsid w:val="000B4A87"/>
    <w:rsid w:val="000E00D4"/>
    <w:rsid w:val="000E23A7"/>
    <w:rsid w:val="0010693F"/>
    <w:rsid w:val="001104F8"/>
    <w:rsid w:val="00114472"/>
    <w:rsid w:val="00114F3C"/>
    <w:rsid w:val="001364FA"/>
    <w:rsid w:val="001550BC"/>
    <w:rsid w:val="001605B9"/>
    <w:rsid w:val="00170EC5"/>
    <w:rsid w:val="001747C1"/>
    <w:rsid w:val="00174BE9"/>
    <w:rsid w:val="00184743"/>
    <w:rsid w:val="00197089"/>
    <w:rsid w:val="001D004B"/>
    <w:rsid w:val="00207DF5"/>
    <w:rsid w:val="00280E07"/>
    <w:rsid w:val="00291870"/>
    <w:rsid w:val="00292451"/>
    <w:rsid w:val="002A2C36"/>
    <w:rsid w:val="002C31BF"/>
    <w:rsid w:val="002D08B1"/>
    <w:rsid w:val="002E0CD7"/>
    <w:rsid w:val="002F3EB3"/>
    <w:rsid w:val="00300682"/>
    <w:rsid w:val="00341DCF"/>
    <w:rsid w:val="00350B50"/>
    <w:rsid w:val="00357BC6"/>
    <w:rsid w:val="00384EC7"/>
    <w:rsid w:val="00387B22"/>
    <w:rsid w:val="003956C6"/>
    <w:rsid w:val="00400BE9"/>
    <w:rsid w:val="00441430"/>
    <w:rsid w:val="00450F07"/>
    <w:rsid w:val="00453CD3"/>
    <w:rsid w:val="00460660"/>
    <w:rsid w:val="00486107"/>
    <w:rsid w:val="00490F2A"/>
    <w:rsid w:val="00491827"/>
    <w:rsid w:val="0049486B"/>
    <w:rsid w:val="004A65F4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01E7E"/>
    <w:rsid w:val="0050706D"/>
    <w:rsid w:val="0051191A"/>
    <w:rsid w:val="00511AB9"/>
    <w:rsid w:val="00523EA7"/>
    <w:rsid w:val="00553375"/>
    <w:rsid w:val="00557C28"/>
    <w:rsid w:val="005736B7"/>
    <w:rsid w:val="00575E5A"/>
    <w:rsid w:val="005A5020"/>
    <w:rsid w:val="005F1404"/>
    <w:rsid w:val="0061068E"/>
    <w:rsid w:val="00655924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05F7"/>
    <w:rsid w:val="00723ED1"/>
    <w:rsid w:val="00743525"/>
    <w:rsid w:val="0076286B"/>
    <w:rsid w:val="00766846"/>
    <w:rsid w:val="0077673A"/>
    <w:rsid w:val="007846E1"/>
    <w:rsid w:val="007B570C"/>
    <w:rsid w:val="007C589B"/>
    <w:rsid w:val="007D3D4B"/>
    <w:rsid w:val="007E25D5"/>
    <w:rsid w:val="007E4A6E"/>
    <w:rsid w:val="007F56A7"/>
    <w:rsid w:val="007F68D4"/>
    <w:rsid w:val="00807DD0"/>
    <w:rsid w:val="00840BC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1B19"/>
    <w:rsid w:val="00941D20"/>
    <w:rsid w:val="00950F03"/>
    <w:rsid w:val="00951903"/>
    <w:rsid w:val="00962258"/>
    <w:rsid w:val="009678B7"/>
    <w:rsid w:val="009833E1"/>
    <w:rsid w:val="00983CAA"/>
    <w:rsid w:val="00992D9C"/>
    <w:rsid w:val="00996CB8"/>
    <w:rsid w:val="009A56F3"/>
    <w:rsid w:val="009B14A9"/>
    <w:rsid w:val="009B2E97"/>
    <w:rsid w:val="009B32C3"/>
    <w:rsid w:val="009E07F4"/>
    <w:rsid w:val="009F392E"/>
    <w:rsid w:val="00A6177B"/>
    <w:rsid w:val="00A66136"/>
    <w:rsid w:val="00A8387F"/>
    <w:rsid w:val="00AA4CBB"/>
    <w:rsid w:val="00AA65FA"/>
    <w:rsid w:val="00AA7351"/>
    <w:rsid w:val="00AB03E6"/>
    <w:rsid w:val="00AB0F93"/>
    <w:rsid w:val="00AD056F"/>
    <w:rsid w:val="00AD6731"/>
    <w:rsid w:val="00B15D0D"/>
    <w:rsid w:val="00B40A66"/>
    <w:rsid w:val="00B623EA"/>
    <w:rsid w:val="00B75EE1"/>
    <w:rsid w:val="00B77481"/>
    <w:rsid w:val="00B8518B"/>
    <w:rsid w:val="00BA4E54"/>
    <w:rsid w:val="00BD003D"/>
    <w:rsid w:val="00BD7E91"/>
    <w:rsid w:val="00C02D0A"/>
    <w:rsid w:val="00C03A6E"/>
    <w:rsid w:val="00C44F6A"/>
    <w:rsid w:val="00C47AE3"/>
    <w:rsid w:val="00C569B1"/>
    <w:rsid w:val="00C5767E"/>
    <w:rsid w:val="00CD1FC4"/>
    <w:rsid w:val="00D17940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87F"/>
    <w:rsid w:val="00E36C4A"/>
    <w:rsid w:val="00E539AF"/>
    <w:rsid w:val="00E701C7"/>
    <w:rsid w:val="00EB104F"/>
    <w:rsid w:val="00EB79FC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;"/>
  <w14:docId w14:val="494F4BA6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0B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00B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0B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0B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0B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39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3D58BF6-E6CC-4E14-804D-6431DD975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7346D8-76CE-4DB3-AA8C-CD83413F8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7</Pages>
  <Words>2319</Words>
  <Characters>13686</Characters>
  <Application>Microsoft Office Word</Application>
  <DocSecurity>0</DocSecurity>
  <Lines>114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5</cp:revision>
  <cp:lastPrinted>2017-11-28T17:18:00Z</cp:lastPrinted>
  <dcterms:created xsi:type="dcterms:W3CDTF">2023-07-25T13:14:00Z</dcterms:created>
  <dcterms:modified xsi:type="dcterms:W3CDTF">2023-07-28T12:46:00Z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