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B190B" w14:textId="77777777" w:rsidR="004429CF" w:rsidRDefault="004429CF" w:rsidP="00F1527A">
      <w:pPr>
        <w:pStyle w:val="Nzev"/>
        <w:jc w:val="both"/>
      </w:pPr>
    </w:p>
    <w:p w14:paraId="047BCFBE" w14:textId="60C8E8E2" w:rsidR="005740C3" w:rsidRPr="004429CF" w:rsidRDefault="009A0078" w:rsidP="00F1527A">
      <w:pPr>
        <w:pStyle w:val="Nzev"/>
        <w:keepLines w:val="0"/>
        <w:widowControl w:val="0"/>
        <w:suppressAutoHyphens w:val="0"/>
        <w:jc w:val="both"/>
      </w:pPr>
      <w:r w:rsidRPr="00DC60C3">
        <w:t xml:space="preserve">Smlouva o dílo </w:t>
      </w:r>
    </w:p>
    <w:p w14:paraId="71413EB7" w14:textId="43163355" w:rsidR="005740C3" w:rsidRPr="00F20995" w:rsidRDefault="005740C3" w:rsidP="00015FDA">
      <w:pPr>
        <w:widowControl w:val="0"/>
        <w:overflowPunct w:val="0"/>
        <w:autoSpaceDE w:val="0"/>
        <w:autoSpaceDN w:val="0"/>
        <w:adjustRightInd w:val="0"/>
        <w:spacing w:after="0" w:line="240" w:lineRule="auto"/>
        <w:ind w:left="3261" w:hanging="3261"/>
        <w:jc w:val="both"/>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xml:space="preserve">. </w:t>
      </w:r>
      <w:r w:rsidR="008945EC">
        <w:rPr>
          <w:rFonts w:ascii="Verdana" w:hAnsi="Verdana" w:cstheme="minorHAnsi"/>
          <w:highlight w:val="yellow"/>
        </w:rPr>
        <w:t xml:space="preserve">[DOPLNÍ </w:t>
      </w:r>
      <w:r w:rsidR="00015FDA">
        <w:rPr>
          <w:rFonts w:ascii="Verdana" w:hAnsi="Verdana" w:cstheme="minorHAnsi"/>
          <w:highlight w:val="yellow"/>
        </w:rPr>
        <w:t>ZHOTOVITEL</w:t>
      </w:r>
      <w:r w:rsidR="008945EC">
        <w:rPr>
          <w:rFonts w:ascii="Verdana" w:hAnsi="Verdana" w:cstheme="minorHAnsi"/>
          <w:highlight w:val="yellow"/>
        </w:rPr>
        <w:t xml:space="preserve"> </w:t>
      </w:r>
      <w:r w:rsidR="00015FDA">
        <w:rPr>
          <w:rFonts w:ascii="Verdana" w:hAnsi="Verdana" w:cstheme="minorHAnsi"/>
          <w:highlight w:val="yellow"/>
        </w:rPr>
        <w:t>DLE ROZHODNUTÍ O VÝBĚRU     DODAVATELE</w:t>
      </w:r>
      <w:r w:rsidR="008945EC" w:rsidRPr="00633D18">
        <w:rPr>
          <w:rFonts w:ascii="Verdana" w:hAnsi="Verdana" w:cstheme="minorHAnsi"/>
          <w:highlight w:val="yellow"/>
        </w:rPr>
        <w:t>]</w:t>
      </w:r>
      <w:r w:rsidR="00015FDA">
        <w:rPr>
          <w:rFonts w:ascii="Verdana" w:hAnsi="Verdana" w:cstheme="minorHAnsi"/>
          <w:highlight w:val="yellow"/>
        </w:rPr>
        <w:t xml:space="preserve"> </w:t>
      </w:r>
      <w:r w:rsidR="00015FDA" w:rsidRPr="00015FDA">
        <w:rPr>
          <w:rFonts w:ascii="Verdana" w:hAnsi="Verdana" w:cstheme="minorHAnsi"/>
          <w:highlight w:val="yellow"/>
        </w:rPr>
        <w:t xml:space="preserve">  </w:t>
      </w:r>
    </w:p>
    <w:p w14:paraId="6F0FEDA9" w14:textId="3BB0015D" w:rsidR="005740C3" w:rsidRDefault="005740C3" w:rsidP="00F1527A">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392F42">
        <w:rPr>
          <w:rFonts w:eastAsia="Times New Roman" w:cs="Times New Roman"/>
          <w:b/>
          <w:highlight w:val="yellow"/>
          <w:lang w:eastAsia="cs-CZ"/>
        </w:rPr>
        <w:t xml:space="preserve">Číslo smlouvy zhotovitele. </w:t>
      </w:r>
      <w:r w:rsidR="008945EC" w:rsidRPr="00392F42">
        <w:rPr>
          <w:rFonts w:ascii="Verdana" w:hAnsi="Verdana"/>
          <w:highlight w:val="yellow"/>
        </w:rPr>
        <w:t>[DOPLNÍ ZHOTOVITEL]</w:t>
      </w:r>
    </w:p>
    <w:p w14:paraId="1CDD4F8B" w14:textId="77777777" w:rsidR="005740C3" w:rsidRPr="005740C3" w:rsidRDefault="005740C3" w:rsidP="00F1527A">
      <w:pPr>
        <w:widowControl w:val="0"/>
        <w:jc w:val="both"/>
        <w:rPr>
          <w:highlight w:val="yellow"/>
        </w:rPr>
      </w:pPr>
    </w:p>
    <w:p w14:paraId="55A13EF4" w14:textId="77777777" w:rsidR="004E1498" w:rsidRPr="004E1498"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09C9DA25" w14:textId="77777777" w:rsidR="00392F42" w:rsidRPr="00392F42" w:rsidRDefault="004E1498" w:rsidP="00392F4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00392F42" w:rsidRPr="00392F42">
        <w:rPr>
          <w:rFonts w:eastAsia="Times New Roman" w:cs="Times New Roman"/>
          <w:lang w:eastAsia="cs-CZ"/>
        </w:rPr>
        <w:t xml:space="preserve">Identifikátor datové schránky: </w:t>
      </w:r>
      <w:proofErr w:type="spellStart"/>
      <w:r w:rsidR="00392F42" w:rsidRPr="00392F42">
        <w:rPr>
          <w:rFonts w:eastAsia="Times New Roman" w:cs="Times New Roman"/>
          <w:lang w:eastAsia="cs-CZ"/>
        </w:rPr>
        <w:t>uccchjm</w:t>
      </w:r>
      <w:proofErr w:type="spellEnd"/>
    </w:p>
    <w:p w14:paraId="1FC28659" w14:textId="77777777" w:rsidR="00392F42" w:rsidRPr="00392F42" w:rsidRDefault="00392F42" w:rsidP="00392F4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04A8D40F" w14:textId="2D477A01" w:rsidR="00392F42" w:rsidRPr="00392F42" w:rsidRDefault="00392F42" w:rsidP="00392F4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92F42">
        <w:rPr>
          <w:rFonts w:eastAsia="Times New Roman" w:cs="Times New Roman"/>
          <w:lang w:eastAsia="cs-CZ"/>
        </w:rPr>
        <w:t xml:space="preserve">                      Organizační jednotka Objednatele:</w:t>
      </w:r>
    </w:p>
    <w:p w14:paraId="5BDC011D" w14:textId="77777777" w:rsidR="00392F42" w:rsidRPr="00392F42" w:rsidRDefault="00392F42" w:rsidP="00392F42">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92F42">
        <w:rPr>
          <w:rFonts w:eastAsia="Times New Roman" w:cs="Times New Roman"/>
          <w:lang w:eastAsia="cs-CZ"/>
        </w:rPr>
        <w:t>Název:</w:t>
      </w:r>
      <w:r w:rsidRPr="00392F42">
        <w:rPr>
          <w:rFonts w:eastAsia="Times New Roman" w:cs="Times New Roman"/>
          <w:lang w:eastAsia="cs-CZ"/>
        </w:rPr>
        <w:tab/>
      </w:r>
      <w:r w:rsidRPr="00392F42">
        <w:rPr>
          <w:rFonts w:eastAsia="Times New Roman" w:cs="Times New Roman"/>
          <w:lang w:eastAsia="cs-CZ"/>
        </w:rPr>
        <w:tab/>
        <w:t>Oblastní ředitelství Praha</w:t>
      </w:r>
    </w:p>
    <w:p w14:paraId="2223A22F" w14:textId="77777777" w:rsidR="00392F42" w:rsidRPr="00392F42" w:rsidRDefault="00392F42" w:rsidP="00392F42">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92F42">
        <w:rPr>
          <w:rFonts w:eastAsia="Times New Roman" w:cs="Times New Roman"/>
          <w:lang w:eastAsia="cs-CZ"/>
        </w:rPr>
        <w:t>Sídlo:</w:t>
      </w:r>
      <w:r w:rsidRPr="00392F42">
        <w:rPr>
          <w:rFonts w:eastAsia="Times New Roman" w:cs="Times New Roman"/>
          <w:lang w:eastAsia="cs-CZ"/>
        </w:rPr>
        <w:tab/>
      </w:r>
      <w:r w:rsidRPr="00392F42">
        <w:rPr>
          <w:rFonts w:eastAsia="Times New Roman" w:cs="Times New Roman"/>
          <w:lang w:eastAsia="cs-CZ"/>
        </w:rPr>
        <w:tab/>
        <w:t>Partyzánská 24, 170 00 Praha 7</w:t>
      </w:r>
    </w:p>
    <w:p w14:paraId="18FC1795" w14:textId="77777777" w:rsidR="00D2445B" w:rsidRDefault="00392F42" w:rsidP="00392F42">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92F42">
        <w:rPr>
          <w:rFonts w:eastAsia="Times New Roman" w:cs="Times New Roman"/>
          <w:lang w:eastAsia="cs-CZ"/>
        </w:rPr>
        <w:t>Zastoupená:</w:t>
      </w:r>
      <w:r w:rsidRPr="00392F42">
        <w:rPr>
          <w:rFonts w:eastAsia="Times New Roman" w:cs="Times New Roman"/>
          <w:lang w:eastAsia="cs-CZ"/>
        </w:rPr>
        <w:tab/>
        <w:t>Ing. Vladimír Filip, ředitel Oblastního ředitelství Praha, na základě pověření č. 2381 ze dne 21. 3. 2018</w:t>
      </w:r>
    </w:p>
    <w:p w14:paraId="42E71501" w14:textId="77777777" w:rsidR="00D2445B" w:rsidRDefault="00D2445B" w:rsidP="00392F42">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p>
    <w:p w14:paraId="5898E246" w14:textId="77777777" w:rsidR="00D2445B" w:rsidRPr="00D2445B" w:rsidRDefault="00D2445B" w:rsidP="00D2445B">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D2445B">
        <w:rPr>
          <w:rFonts w:eastAsia="Times New Roman" w:cs="Times New Roman"/>
          <w:iCs/>
          <w:lang w:eastAsia="cs-CZ"/>
        </w:rPr>
        <w:t xml:space="preserve">Korespondenční adresa: </w:t>
      </w:r>
    </w:p>
    <w:p w14:paraId="7C2D87AB" w14:textId="77777777" w:rsidR="00D2445B" w:rsidRPr="00D2445B" w:rsidRDefault="00D2445B" w:rsidP="00D2445B">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D2445B">
        <w:rPr>
          <w:rFonts w:eastAsia="Times New Roman" w:cs="Times New Roman"/>
          <w:lang w:eastAsia="cs-CZ"/>
        </w:rPr>
        <w:t xml:space="preserve">                      Správa železnic, státní organizace</w:t>
      </w:r>
    </w:p>
    <w:p w14:paraId="79BAAF11" w14:textId="77777777" w:rsidR="00D2445B" w:rsidRPr="00D2445B" w:rsidRDefault="00D2445B" w:rsidP="00D2445B">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D2445B">
        <w:rPr>
          <w:rFonts w:eastAsia="Times New Roman" w:cs="Times New Roman"/>
          <w:lang w:eastAsia="cs-CZ"/>
        </w:rPr>
        <w:t xml:space="preserve">                      Oblastní ředitelství Praha </w:t>
      </w:r>
    </w:p>
    <w:p w14:paraId="09DB1A70" w14:textId="77777777" w:rsidR="00D2445B" w:rsidRPr="00D2445B" w:rsidRDefault="00D2445B" w:rsidP="00D2445B">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D2445B">
        <w:rPr>
          <w:rFonts w:eastAsia="Times New Roman" w:cs="Times New Roman"/>
          <w:lang w:eastAsia="cs-CZ"/>
        </w:rPr>
        <w:t xml:space="preserve">                      Partyzánská 24, 170 00 Praha 7</w:t>
      </w:r>
    </w:p>
    <w:p w14:paraId="12223576" w14:textId="2087836E" w:rsidR="004E1498" w:rsidRPr="004E1498"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E1498"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F8F7CC4" w:rsidR="008E1E86" w:rsidRPr="00392F42" w:rsidRDefault="008E1E86" w:rsidP="00197130">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9B4030">
        <w:rPr>
          <w:rFonts w:eastAsia="Times New Roman" w:cs="Times New Roman"/>
          <w:b/>
          <w:lang w:eastAsia="cs-CZ"/>
        </w:rPr>
        <w:t>Zhotovitel:</w:t>
      </w:r>
      <w:r w:rsidRPr="009B4030">
        <w:rPr>
          <w:rFonts w:eastAsia="Times New Roman" w:cs="Times New Roman"/>
          <w:lang w:eastAsia="cs-CZ"/>
        </w:rPr>
        <w:tab/>
      </w:r>
      <w:r w:rsidRPr="00392F42">
        <w:rPr>
          <w:rFonts w:eastAsia="Times New Roman" w:cs="Times New Roman"/>
          <w:highlight w:val="yellow"/>
          <w:lang w:eastAsia="cs-CZ"/>
        </w:rPr>
        <w:t>jméno osoby/název firmy</w:t>
      </w:r>
      <w:r w:rsidR="008945EC" w:rsidRPr="00392F42">
        <w:rPr>
          <w:rFonts w:eastAsia="Times New Roman" w:cs="Times New Roman"/>
          <w:highlight w:val="yellow"/>
          <w:lang w:eastAsia="cs-CZ"/>
        </w:rPr>
        <w:t xml:space="preserve"> </w:t>
      </w:r>
      <w:r w:rsidR="008945EC" w:rsidRPr="00392F42">
        <w:rPr>
          <w:rFonts w:ascii="Verdana" w:hAnsi="Verdana"/>
          <w:highlight w:val="yellow"/>
        </w:rPr>
        <w:t>[DOPLNÍ ZHOTOVITEL]</w:t>
      </w:r>
    </w:p>
    <w:p w14:paraId="19E73E8B" w14:textId="77777777" w:rsidR="008E1E86" w:rsidRPr="00392F42"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392F42">
        <w:rPr>
          <w:rFonts w:eastAsia="Times New Roman" w:cs="Times New Roman"/>
          <w:highlight w:val="yellow"/>
          <w:lang w:eastAsia="cs-CZ"/>
        </w:rPr>
        <w:tab/>
      </w:r>
      <w:r w:rsidRPr="00392F42">
        <w:rPr>
          <w:rFonts w:eastAsia="Times New Roman" w:cs="Times New Roman"/>
          <w:highlight w:val="yellow"/>
          <w:lang w:eastAsia="cs-CZ"/>
        </w:rPr>
        <w:tab/>
        <w:t>údaje o zápisu v evidenci</w:t>
      </w:r>
    </w:p>
    <w:p w14:paraId="57570FFE" w14:textId="77777777" w:rsidR="008E1E86" w:rsidRPr="00392F42"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392F42">
        <w:rPr>
          <w:rFonts w:eastAsia="Times New Roman" w:cs="Times New Roman"/>
          <w:highlight w:val="yellow"/>
          <w:lang w:eastAsia="cs-CZ"/>
        </w:rPr>
        <w:tab/>
      </w:r>
      <w:r w:rsidRPr="00392F42">
        <w:rPr>
          <w:rFonts w:eastAsia="Times New Roman" w:cs="Times New Roman"/>
          <w:highlight w:val="yellow"/>
          <w:lang w:eastAsia="cs-CZ"/>
        </w:rPr>
        <w:tab/>
        <w:t>Sídlo:</w:t>
      </w:r>
    </w:p>
    <w:p w14:paraId="420D77A3" w14:textId="77777777" w:rsidR="008E1E86" w:rsidRPr="00392F42"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392F42">
        <w:rPr>
          <w:rFonts w:eastAsia="Times New Roman" w:cs="Times New Roman"/>
          <w:highlight w:val="yellow"/>
          <w:lang w:eastAsia="cs-CZ"/>
        </w:rPr>
        <w:tab/>
      </w:r>
      <w:r w:rsidRPr="00392F42">
        <w:rPr>
          <w:rFonts w:eastAsia="Times New Roman" w:cs="Times New Roman"/>
          <w:highlight w:val="yellow"/>
          <w:lang w:eastAsia="cs-CZ"/>
        </w:rPr>
        <w:tab/>
        <w:t>IČO ……………………, DIČ …………………</w:t>
      </w:r>
    </w:p>
    <w:p w14:paraId="19B3856E" w14:textId="77777777" w:rsidR="008E1E86" w:rsidRPr="00392F42" w:rsidRDefault="008E1E86" w:rsidP="00F1527A">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yellow"/>
          <w:lang w:eastAsia="cs-CZ"/>
        </w:rPr>
      </w:pPr>
      <w:r w:rsidRPr="00392F42">
        <w:rPr>
          <w:rFonts w:eastAsia="Times New Roman" w:cs="Times New Roman"/>
          <w:highlight w:val="yellow"/>
          <w:lang w:eastAsia="cs-CZ"/>
        </w:rPr>
        <w:t>Bankovní spojení:……………………..</w:t>
      </w:r>
    </w:p>
    <w:p w14:paraId="17127EF1" w14:textId="77777777" w:rsidR="008E1E86" w:rsidRPr="00392F42" w:rsidRDefault="008E1E86" w:rsidP="00F1527A">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yellow"/>
          <w:lang w:eastAsia="cs-CZ"/>
        </w:rPr>
      </w:pPr>
      <w:r w:rsidRPr="00392F42">
        <w:rPr>
          <w:rFonts w:eastAsia="Times New Roman" w:cs="Times New Roman"/>
          <w:highlight w:val="yellow"/>
          <w:lang w:eastAsia="cs-CZ"/>
        </w:rPr>
        <w:t>Číslo účtu:…………………………..</w:t>
      </w:r>
    </w:p>
    <w:p w14:paraId="3B9C9CF2" w14:textId="77777777" w:rsidR="008E1E86" w:rsidRPr="00F1527A"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92F42">
        <w:rPr>
          <w:rFonts w:eastAsia="Times New Roman" w:cs="Times New Roman"/>
          <w:highlight w:val="yellow"/>
          <w:lang w:eastAsia="cs-CZ"/>
        </w:rPr>
        <w:tab/>
      </w:r>
      <w:r w:rsidRPr="00392F42">
        <w:rPr>
          <w:rFonts w:eastAsia="Times New Roman" w:cs="Times New Roman"/>
          <w:highlight w:val="yellow"/>
          <w:lang w:eastAsia="cs-CZ"/>
        </w:rPr>
        <w:tab/>
        <w:t>údaje o statutárním orgánu nebo jiné oprávněné osobě</w:t>
      </w:r>
    </w:p>
    <w:p w14:paraId="023DCF01" w14:textId="77777777" w:rsidR="008E1E86" w:rsidRPr="004E1498"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50326DD2" w14:textId="79FBC733" w:rsidR="004E1498" w:rsidRPr="006C7697"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04A39B62" w:rsidR="004E1498" w:rsidRPr="004E1498" w:rsidRDefault="004E1498" w:rsidP="00302578">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w:t>
      </w:r>
      <w:r w:rsidRPr="00392F42">
        <w:rPr>
          <w:rFonts w:eastAsia="Times New Roman" w:cs="Times New Roman"/>
          <w:lang w:eastAsia="cs-CZ"/>
        </w:rPr>
        <w:t>smlouva je uzavřena na základě výsledků zadávacího</w:t>
      </w:r>
      <w:r w:rsidR="00A53522" w:rsidRPr="00392F42">
        <w:rPr>
          <w:rFonts w:eastAsia="Times New Roman" w:cs="Times New Roman"/>
          <w:lang w:eastAsia="cs-CZ"/>
        </w:rPr>
        <w:t>/výběrového</w:t>
      </w:r>
      <w:r w:rsidRPr="00392F42">
        <w:rPr>
          <w:rFonts w:eastAsia="Times New Roman" w:cs="Times New Roman"/>
          <w:lang w:eastAsia="cs-CZ"/>
        </w:rPr>
        <w:t xml:space="preserve"> řízení veřejné zakázky s názvem </w:t>
      </w:r>
      <w:r w:rsidR="00527421" w:rsidRPr="00392F42">
        <w:rPr>
          <w:rFonts w:eastAsia="Times New Roman" w:cs="Times New Roman"/>
          <w:lang w:eastAsia="cs-CZ"/>
        </w:rPr>
        <w:t>„</w:t>
      </w:r>
      <w:r w:rsidR="00392F42" w:rsidRPr="00392F42">
        <w:rPr>
          <w:rFonts w:eastAsia="Times New Roman" w:cs="Times New Roman"/>
          <w:b/>
          <w:lang w:eastAsia="cs-CZ"/>
        </w:rPr>
        <w:t>Diagnostika a přepočty strategických přemostění v obvodu OŘ Praha – II. etapa</w:t>
      </w:r>
      <w:r w:rsidRPr="00392F42">
        <w:rPr>
          <w:rFonts w:eastAsia="Times New Roman" w:cs="Times New Roman"/>
          <w:lang w:eastAsia="cs-CZ"/>
        </w:rPr>
        <w:t xml:space="preserve"> “, ev. č. veřejné zakázky ve věstníku veřejných zakázek: </w:t>
      </w:r>
      <w:r w:rsidR="00392F42" w:rsidRPr="00392F42">
        <w:rPr>
          <w:rFonts w:eastAsia="Times New Roman" w:cs="Times New Roman"/>
          <w:lang w:eastAsia="cs-CZ"/>
        </w:rPr>
        <w:t>64523072</w:t>
      </w:r>
      <w:r w:rsidR="00392F42">
        <w:rPr>
          <w:rFonts w:eastAsia="Times New Roman" w:cs="Times New Roman"/>
          <w:lang w:eastAsia="cs-CZ"/>
        </w:rPr>
        <w:t>,</w:t>
      </w:r>
      <w:r w:rsidR="000D278B" w:rsidRPr="00392F42">
        <w:rPr>
          <w:rFonts w:eastAsia="Times New Roman" w:cs="Times New Roman"/>
          <w:lang w:eastAsia="cs-CZ"/>
        </w:rPr>
        <w:t xml:space="preserve"> </w:t>
      </w:r>
      <w:proofErr w:type="gramStart"/>
      <w:r w:rsidR="000D278B" w:rsidRPr="00392F42">
        <w:rPr>
          <w:rFonts w:eastAsia="Times New Roman" w:cs="Times New Roman"/>
          <w:lang w:eastAsia="cs-CZ"/>
        </w:rPr>
        <w:t>č.j.</w:t>
      </w:r>
      <w:proofErr w:type="gramEnd"/>
      <w:r w:rsidR="000D278B" w:rsidRPr="00392F42">
        <w:rPr>
          <w:rFonts w:eastAsia="Times New Roman" w:cs="Times New Roman"/>
          <w:lang w:eastAsia="cs-CZ"/>
        </w:rPr>
        <w:t xml:space="preserve"> veřejné zakázky </w:t>
      </w:r>
      <w:r w:rsidR="00392F42" w:rsidRPr="00392F42">
        <w:rPr>
          <w:rFonts w:eastAsia="Times New Roman" w:cs="Times New Roman"/>
          <w:lang w:eastAsia="cs-CZ"/>
        </w:rPr>
        <w:t xml:space="preserve">26848/2023-SŽ-OŘ PHA-OVZ </w:t>
      </w:r>
      <w:r w:rsidRPr="00392F42">
        <w:rPr>
          <w:rFonts w:eastAsia="Times New Roman" w:cs="Times New Roman"/>
          <w:lang w:eastAsia="cs-CZ"/>
        </w:rPr>
        <w:t>(</w:t>
      </w:r>
      <w:r w:rsidRPr="004E1498">
        <w:rPr>
          <w:rFonts w:eastAsia="Times New Roman" w:cs="Times New Roman"/>
          <w:lang w:eastAsia="cs-CZ"/>
        </w:rPr>
        <w:t>dále jen „</w:t>
      </w:r>
      <w:r w:rsidR="00380260" w:rsidRPr="0055288E">
        <w:rPr>
          <w:rFonts w:eastAsia="Times New Roman" w:cs="Times New Roman"/>
          <w:b/>
          <w:lang w:eastAsia="cs-CZ"/>
        </w:rPr>
        <w:t xml:space="preserve">Veřejná </w:t>
      </w:r>
      <w:r w:rsidRPr="0055288E">
        <w:rPr>
          <w:rFonts w:eastAsia="Times New Roman" w:cs="Times New Roman"/>
          <w:b/>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w:t>
      </w:r>
      <w:r w:rsidR="00A01A92">
        <w:rPr>
          <w:rFonts w:eastAsia="Times New Roman" w:cs="Times New Roman"/>
          <w:lang w:eastAsia="cs-CZ"/>
        </w:rPr>
        <w:t>V</w:t>
      </w:r>
      <w:r w:rsidR="00A01A92" w:rsidRPr="004E1498">
        <w:rPr>
          <w:rFonts w:eastAsia="Times New Roman" w:cs="Times New Roman"/>
          <w:lang w:eastAsia="cs-CZ"/>
        </w:rPr>
        <w:t xml:space="preserve">eřejné </w:t>
      </w:r>
      <w:r w:rsidRPr="004E1498">
        <w:rPr>
          <w:rFonts w:eastAsia="Times New Roman" w:cs="Times New Roman"/>
          <w:lang w:eastAsia="cs-CZ"/>
        </w:rPr>
        <w:t xml:space="preserve">zakázky. </w:t>
      </w:r>
    </w:p>
    <w:p w14:paraId="11E6F3FE" w14:textId="77777777" w:rsidR="004E1498" w:rsidRPr="004E1498" w:rsidRDefault="004E1498" w:rsidP="00302578">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302578">
      <w:pPr>
        <w:pStyle w:val="Nadpis1"/>
        <w:widowControl w:val="0"/>
        <w:suppressAutoHyphens w:val="0"/>
        <w:spacing w:before="120"/>
        <w:jc w:val="both"/>
      </w:pPr>
      <w:r w:rsidRPr="00950C1F">
        <w:t>Dílo</w:t>
      </w:r>
    </w:p>
    <w:p w14:paraId="75B8D031" w14:textId="29C9B754" w:rsidR="004E1498" w:rsidRPr="006C7697" w:rsidRDefault="004E1498" w:rsidP="00F1527A">
      <w:pPr>
        <w:pStyle w:val="Nadpis2"/>
        <w:widowControl w:val="0"/>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F1527A">
      <w:pPr>
        <w:pStyle w:val="Nadpis1"/>
        <w:widowControl w:val="0"/>
        <w:suppressAutoHyphens w:val="0"/>
        <w:jc w:val="both"/>
        <w:rPr>
          <w:rFonts w:eastAsia="Times New Roman"/>
          <w:lang w:eastAsia="cs-CZ"/>
        </w:rPr>
      </w:pPr>
      <w:r w:rsidRPr="004E1498">
        <w:rPr>
          <w:rFonts w:eastAsia="Times New Roman"/>
          <w:lang w:eastAsia="cs-CZ"/>
        </w:rPr>
        <w:t>Předmět díla</w:t>
      </w:r>
    </w:p>
    <w:p w14:paraId="4411D778" w14:textId="24E585CF" w:rsidR="00A422F3" w:rsidRDefault="004E1498" w:rsidP="001421FD">
      <w:pPr>
        <w:pStyle w:val="Nadpis2"/>
        <w:widowControl w:val="0"/>
      </w:pPr>
      <w:r w:rsidRPr="004E1498">
        <w:t xml:space="preserve">Předmětem díla je </w:t>
      </w:r>
      <w:r w:rsidR="00A422F3" w:rsidRPr="00E00652">
        <w:t>provedení diagnostiky a statické posouzení u dvou železničních mostů</w:t>
      </w:r>
      <w:r w:rsidR="001421FD">
        <w:t>:</w:t>
      </w:r>
    </w:p>
    <w:p w14:paraId="144B258D" w14:textId="77777777" w:rsidR="00D57D60" w:rsidRPr="00D57D60" w:rsidRDefault="00D57D60" w:rsidP="00D57D60">
      <w:pPr>
        <w:rPr>
          <w:lang w:eastAsia="cs-CZ"/>
        </w:rPr>
      </w:pPr>
    </w:p>
    <w:p w14:paraId="485EE15C" w14:textId="78DEC1B8" w:rsidR="00A422F3" w:rsidRPr="00A422F3" w:rsidRDefault="00A422F3" w:rsidP="002B45EF">
      <w:pPr>
        <w:ind w:left="576"/>
        <w:rPr>
          <w:lang w:eastAsia="cs-CZ"/>
        </w:rPr>
      </w:pPr>
      <w:r w:rsidRPr="00A422F3">
        <w:rPr>
          <w:lang w:eastAsia="cs-CZ"/>
        </w:rPr>
        <w:lastRenderedPageBreak/>
        <w:t>Železniční most v km 6,599 TÚ 1741 Kolín (mimo)(</w:t>
      </w:r>
      <w:proofErr w:type="spellStart"/>
      <w:r w:rsidRPr="00A422F3">
        <w:rPr>
          <w:lang w:eastAsia="cs-CZ"/>
        </w:rPr>
        <w:t>vč.Kolín-Kol.míst.n</w:t>
      </w:r>
      <w:proofErr w:type="spellEnd"/>
      <w:r w:rsidRPr="00A422F3">
        <w:rPr>
          <w:lang w:eastAsia="cs-CZ"/>
        </w:rPr>
        <w:t xml:space="preserve">.) - Ledečko </w:t>
      </w:r>
      <w:proofErr w:type="gramStart"/>
      <w:r w:rsidRPr="00A422F3">
        <w:rPr>
          <w:lang w:eastAsia="cs-CZ"/>
        </w:rPr>
        <w:t>st.1 (mimo</w:t>
      </w:r>
      <w:proofErr w:type="gramEnd"/>
      <w:r w:rsidRPr="00A422F3">
        <w:rPr>
          <w:lang w:eastAsia="cs-CZ"/>
        </w:rPr>
        <w:t>)</w:t>
      </w:r>
      <w:r w:rsidR="001421FD">
        <w:rPr>
          <w:lang w:eastAsia="cs-CZ"/>
        </w:rPr>
        <w:t xml:space="preserve"> a </w:t>
      </w:r>
      <w:r w:rsidRPr="00A422F3">
        <w:rPr>
          <w:lang w:eastAsia="cs-CZ"/>
        </w:rPr>
        <w:t>Železniční most v km 344,001 TÚ 0921 Lysá nad Labem (mimo) - Všetaty (mimo).</w:t>
      </w:r>
    </w:p>
    <w:p w14:paraId="31E5226B" w14:textId="3D4531A8" w:rsidR="004E1498" w:rsidRPr="004E1498" w:rsidRDefault="004E1498" w:rsidP="00F1527A">
      <w:pPr>
        <w:pStyle w:val="Nadpis2"/>
        <w:widowControl w:val="0"/>
      </w:pPr>
      <w:r w:rsidRPr="00E00652">
        <w:t>Předmět díla je blíže specifikován v přílo</w:t>
      </w:r>
      <w:r w:rsidR="00CB53B1" w:rsidRPr="00E00652">
        <w:t>ze</w:t>
      </w:r>
      <w:r w:rsidRPr="00E00652">
        <w:t xml:space="preserve"> </w:t>
      </w:r>
      <w:r w:rsidR="0086114C" w:rsidRPr="00E00652">
        <w:t>č</w:t>
      </w:r>
      <w:r w:rsidR="00E00652" w:rsidRPr="00E00652">
        <w:t xml:space="preserve">. 2 </w:t>
      </w:r>
      <w:r w:rsidR="006566F7" w:rsidRPr="00E00652">
        <w:t>S</w:t>
      </w:r>
      <w:r w:rsidRPr="00E00652">
        <w:t>mlouvy.</w:t>
      </w:r>
    </w:p>
    <w:p w14:paraId="7E63136B" w14:textId="69571AB8" w:rsidR="00253E0C" w:rsidRPr="00444FC1" w:rsidRDefault="00444FC1" w:rsidP="00D57D60">
      <w:pPr>
        <w:spacing w:after="0"/>
        <w:ind w:left="578" w:hanging="578"/>
        <w:rPr>
          <w:lang w:eastAsia="cs-CZ"/>
        </w:rPr>
      </w:pPr>
      <w:r>
        <w:rPr>
          <w:lang w:eastAsia="cs-CZ"/>
        </w:rPr>
        <w:t xml:space="preserve">2.3    </w:t>
      </w:r>
      <w:r w:rsidR="00253E0C" w:rsidRPr="00444FC1">
        <w:rPr>
          <w:lang w:eastAsia="cs-CZ"/>
        </w:rPr>
        <w:t>Předmět Díla musí být proveden v souladu se zadávacími podmínkami Veřejné zakázky, zejména pak s následujícími dokumenty:</w:t>
      </w:r>
    </w:p>
    <w:p w14:paraId="39ECE80F" w14:textId="316CCBB6" w:rsidR="00253E0C" w:rsidRPr="00444FC1" w:rsidRDefault="00444FC1" w:rsidP="00D57D60">
      <w:pPr>
        <w:pStyle w:val="Nadpis3"/>
        <w:numPr>
          <w:ilvl w:val="0"/>
          <w:numId w:val="0"/>
        </w:numPr>
        <w:ind w:left="1276" w:hanging="709"/>
      </w:pPr>
      <w:r>
        <w:t xml:space="preserve">2.3.1  </w:t>
      </w:r>
      <w:r w:rsidR="00253E0C" w:rsidRPr="00444FC1">
        <w:t>Výzva k podání nabídky (č. j. 26848 /2023-SŽ-OŘ PHA-OVZ) a Zadávací dokumentace v rozsahu: Technické zprávy a Obchodních podmínek ke Smlouvě.</w:t>
      </w:r>
    </w:p>
    <w:p w14:paraId="620E778C" w14:textId="5AC71A33" w:rsidR="004E1498" w:rsidRPr="00444FC1" w:rsidRDefault="004E1498" w:rsidP="00945AD6">
      <w:pPr>
        <w:pStyle w:val="Nadpis2"/>
        <w:widowControl w:val="0"/>
        <w:numPr>
          <w:ilvl w:val="1"/>
          <w:numId w:val="41"/>
        </w:numPr>
      </w:pPr>
      <w:r w:rsidRPr="00444FC1">
        <w:t>Jakost ani provedení Předmětu díla není určeno vzorkem ani předlohou.</w:t>
      </w:r>
    </w:p>
    <w:p w14:paraId="600D21AE" w14:textId="6CA2DE43" w:rsidR="004E1498" w:rsidRPr="005C440D" w:rsidRDefault="0029605F" w:rsidP="00F1527A">
      <w:pPr>
        <w:pStyle w:val="Nadpis1"/>
        <w:widowControl w:val="0"/>
        <w:suppressAutoHyphens w:val="0"/>
        <w:jc w:val="both"/>
        <w:rPr>
          <w:rFonts w:eastAsia="Times New Roman"/>
          <w:lang w:eastAsia="cs-CZ"/>
        </w:rPr>
      </w:pPr>
      <w:r w:rsidRPr="005C440D">
        <w:rPr>
          <w:rFonts w:eastAsia="Times New Roman"/>
          <w:lang w:eastAsia="cs-CZ"/>
        </w:rPr>
        <w:t xml:space="preserve">Cena díla </w:t>
      </w:r>
    </w:p>
    <w:p w14:paraId="28C81697" w14:textId="2A5F722C" w:rsidR="00810E9B" w:rsidRPr="005C440D" w:rsidRDefault="00810E9B" w:rsidP="000233F7">
      <w:pPr>
        <w:pStyle w:val="Nadpis2"/>
        <w:widowControl w:val="0"/>
      </w:pPr>
      <w:r w:rsidRPr="005C440D">
        <w:t xml:space="preserve">Cena </w:t>
      </w:r>
      <w:r w:rsidR="000233F7" w:rsidRPr="005C440D">
        <w:t xml:space="preserve">díla je uvedena v Zhotovitelem oceněném položkovém rozpočtu, který je přílohou </w:t>
      </w:r>
      <w:proofErr w:type="gramStart"/>
      <w:r w:rsidR="000233F7" w:rsidRPr="005C440D">
        <w:t>č.3.</w:t>
      </w:r>
      <w:proofErr w:type="gramEnd"/>
      <w:r w:rsidR="000233F7" w:rsidRPr="005C440D">
        <w:t xml:space="preserve"> Smlouvy.</w:t>
      </w:r>
    </w:p>
    <w:p w14:paraId="1AFBED57" w14:textId="77777777" w:rsidR="004E1498" w:rsidRPr="001421FD" w:rsidRDefault="004E1498" w:rsidP="00F1527A">
      <w:pPr>
        <w:pStyle w:val="Nadpis1"/>
        <w:widowControl w:val="0"/>
        <w:suppressAutoHyphens w:val="0"/>
        <w:jc w:val="both"/>
        <w:rPr>
          <w:rFonts w:eastAsia="Times New Roman"/>
          <w:lang w:eastAsia="cs-CZ"/>
        </w:rPr>
      </w:pPr>
      <w:r w:rsidRPr="001421FD">
        <w:rPr>
          <w:rFonts w:eastAsia="Times New Roman"/>
          <w:lang w:eastAsia="cs-CZ"/>
        </w:rPr>
        <w:t>Místo a doba plnění</w:t>
      </w:r>
    </w:p>
    <w:p w14:paraId="1FAC7123" w14:textId="77777777" w:rsidR="00253E0C" w:rsidRPr="00181135" w:rsidRDefault="004E1498" w:rsidP="00253E0C">
      <w:pPr>
        <w:pStyle w:val="Nadpis2"/>
        <w:widowControl w:val="0"/>
        <w:spacing w:after="120"/>
        <w:ind w:left="578" w:hanging="578"/>
      </w:pPr>
      <w:r w:rsidRPr="004E1498">
        <w:t xml:space="preserve">Místem </w:t>
      </w:r>
      <w:proofErr w:type="spellStart"/>
      <w:r w:rsidR="00253E0C" w:rsidRPr="006062F9">
        <w:t>Místem</w:t>
      </w:r>
      <w:proofErr w:type="spellEnd"/>
      <w:r w:rsidR="00253E0C" w:rsidRPr="006062F9">
        <w:t xml:space="preserve"> plnění </w:t>
      </w:r>
      <w:r w:rsidR="00253E0C">
        <w:t>jsou m</w:t>
      </w:r>
      <w:r w:rsidR="00253E0C" w:rsidRPr="00181135">
        <w:rPr>
          <w:rFonts w:cs="Arial"/>
        </w:rPr>
        <w:t>osty v km 6,599 (a), 344,001 (b)</w:t>
      </w:r>
      <w:r w:rsidR="00253E0C" w:rsidRPr="00181135">
        <w:rPr>
          <w:rFonts w:cs="Arial"/>
        </w:rPr>
        <w:tab/>
      </w:r>
    </w:p>
    <w:p w14:paraId="357D15BF" w14:textId="77777777" w:rsidR="00253E0C" w:rsidRPr="00425748" w:rsidRDefault="00253E0C" w:rsidP="00253E0C">
      <w:pPr>
        <w:pStyle w:val="Odstavecseseznamem"/>
        <w:numPr>
          <w:ilvl w:val="0"/>
          <w:numId w:val="40"/>
        </w:numPr>
        <w:tabs>
          <w:tab w:val="left" w:pos="2268"/>
        </w:tabs>
        <w:spacing w:after="0"/>
        <w:ind w:left="993" w:right="764" w:hanging="426"/>
        <w:jc w:val="both"/>
        <w:rPr>
          <w:rFonts w:cs="Arial"/>
        </w:rPr>
      </w:pPr>
      <w:r w:rsidRPr="00425748">
        <w:rPr>
          <w:rFonts w:cs="Arial"/>
        </w:rPr>
        <w:t>Kraj - Středočeský</w:t>
      </w:r>
    </w:p>
    <w:p w14:paraId="1AB8058C" w14:textId="77777777" w:rsidR="00253E0C" w:rsidRPr="00425748" w:rsidRDefault="00253E0C" w:rsidP="00253E0C">
      <w:pPr>
        <w:pStyle w:val="Odstavecseseznamem"/>
        <w:numPr>
          <w:ilvl w:val="0"/>
          <w:numId w:val="40"/>
        </w:numPr>
        <w:tabs>
          <w:tab w:val="left" w:pos="2268"/>
        </w:tabs>
        <w:spacing w:after="0"/>
        <w:ind w:left="993" w:right="764" w:hanging="426"/>
        <w:jc w:val="both"/>
        <w:rPr>
          <w:rFonts w:cs="Arial"/>
        </w:rPr>
      </w:pPr>
      <w:r w:rsidRPr="00425748">
        <w:rPr>
          <w:rFonts w:cs="Arial"/>
        </w:rPr>
        <w:t xml:space="preserve">Okres – Kolín (a), Mladá Boleslav (b) </w:t>
      </w:r>
    </w:p>
    <w:p w14:paraId="20B99870" w14:textId="77777777" w:rsidR="00253E0C" w:rsidRPr="00A81B3F" w:rsidRDefault="00253E0C" w:rsidP="00253E0C">
      <w:pPr>
        <w:pStyle w:val="Odstavecseseznamem"/>
        <w:numPr>
          <w:ilvl w:val="0"/>
          <w:numId w:val="40"/>
        </w:numPr>
        <w:tabs>
          <w:tab w:val="left" w:pos="2268"/>
        </w:tabs>
        <w:spacing w:after="0"/>
        <w:ind w:left="993" w:right="764" w:hanging="426"/>
        <w:jc w:val="both"/>
        <w:rPr>
          <w:rFonts w:cs="Arial"/>
        </w:rPr>
      </w:pPr>
      <w:r w:rsidRPr="00A81B3F">
        <w:rPr>
          <w:rFonts w:cs="Arial"/>
        </w:rPr>
        <w:t>TUDU – 174106 (a), 092102 (b)</w:t>
      </w:r>
    </w:p>
    <w:p w14:paraId="0B19CC98" w14:textId="77777777" w:rsidR="00253E0C" w:rsidRPr="00A81B3F" w:rsidRDefault="00253E0C" w:rsidP="00253E0C">
      <w:pPr>
        <w:pStyle w:val="Odstavecseseznamem"/>
        <w:numPr>
          <w:ilvl w:val="0"/>
          <w:numId w:val="40"/>
        </w:numPr>
        <w:tabs>
          <w:tab w:val="left" w:pos="2268"/>
        </w:tabs>
        <w:spacing w:after="0"/>
        <w:ind w:left="993" w:right="764" w:hanging="426"/>
        <w:jc w:val="both"/>
        <w:rPr>
          <w:rFonts w:cs="Arial"/>
        </w:rPr>
      </w:pPr>
      <w:r w:rsidRPr="00A81B3F">
        <w:rPr>
          <w:rFonts w:cs="Arial"/>
        </w:rPr>
        <w:t>Km – 6,599, 344,001</w:t>
      </w:r>
    </w:p>
    <w:p w14:paraId="77CA96C4" w14:textId="77777777" w:rsidR="00253E0C" w:rsidRPr="001E0AD4" w:rsidRDefault="00253E0C" w:rsidP="00253E0C">
      <w:pPr>
        <w:pStyle w:val="Odstavecseseznamem"/>
        <w:numPr>
          <w:ilvl w:val="0"/>
          <w:numId w:val="40"/>
        </w:numPr>
        <w:tabs>
          <w:tab w:val="left" w:pos="2268"/>
        </w:tabs>
        <w:spacing w:after="0"/>
        <w:ind w:left="993" w:right="764" w:hanging="426"/>
        <w:jc w:val="both"/>
        <w:rPr>
          <w:rFonts w:cs="Arial"/>
          <w:color w:val="FF0000"/>
        </w:rPr>
      </w:pPr>
      <w:r w:rsidRPr="00425748">
        <w:rPr>
          <w:rFonts w:cs="Arial"/>
        </w:rPr>
        <w:t>Číslo trati dle KJŘ – 014 (a), 072 (b)</w:t>
      </w:r>
    </w:p>
    <w:p w14:paraId="3206DC35" w14:textId="77777777" w:rsidR="00253E0C" w:rsidRPr="001E0AD4" w:rsidRDefault="00253E0C" w:rsidP="00253E0C">
      <w:pPr>
        <w:pStyle w:val="Odstavecseseznamem"/>
        <w:numPr>
          <w:ilvl w:val="0"/>
          <w:numId w:val="40"/>
        </w:numPr>
        <w:tabs>
          <w:tab w:val="left" w:pos="2268"/>
        </w:tabs>
        <w:spacing w:after="0"/>
        <w:ind w:left="993" w:right="764" w:hanging="426"/>
        <w:jc w:val="both"/>
        <w:rPr>
          <w:rFonts w:cs="Arial"/>
          <w:color w:val="FF0000"/>
        </w:rPr>
      </w:pPr>
      <w:r w:rsidRPr="00425748">
        <w:rPr>
          <w:rFonts w:cs="Arial"/>
        </w:rPr>
        <w:t xml:space="preserve">Číslo trati </w:t>
      </w:r>
      <w:r w:rsidRPr="00552415">
        <w:rPr>
          <w:rFonts w:cs="Arial"/>
        </w:rPr>
        <w:t>dle Prohlášení o dráze – 681 (a), 440 (b)</w:t>
      </w:r>
    </w:p>
    <w:p w14:paraId="4C3AB299" w14:textId="77777777" w:rsidR="00253E0C" w:rsidRPr="001E0AD4" w:rsidRDefault="00253E0C" w:rsidP="00253E0C">
      <w:pPr>
        <w:pStyle w:val="Odstavecseseznamem"/>
        <w:numPr>
          <w:ilvl w:val="0"/>
          <w:numId w:val="40"/>
        </w:numPr>
        <w:tabs>
          <w:tab w:val="left" w:pos="2268"/>
        </w:tabs>
        <w:spacing w:after="0"/>
        <w:ind w:left="992" w:right="765" w:hanging="425"/>
        <w:jc w:val="both"/>
        <w:rPr>
          <w:rFonts w:cs="Arial"/>
          <w:color w:val="FF0000"/>
        </w:rPr>
      </w:pPr>
      <w:r w:rsidRPr="00425748">
        <w:rPr>
          <w:rFonts w:cs="Arial"/>
        </w:rPr>
        <w:t>Označení trati dle Tabulek traťových poměrů – 515C (a), 503A (b)</w:t>
      </w:r>
    </w:p>
    <w:p w14:paraId="4DCCF507" w14:textId="4D6E6884" w:rsidR="004E1498" w:rsidRDefault="004E1498" w:rsidP="00253E0C">
      <w:pPr>
        <w:pStyle w:val="Nadpis2"/>
        <w:widowControl w:val="0"/>
        <w:numPr>
          <w:ilvl w:val="0"/>
          <w:numId w:val="0"/>
        </w:numPr>
        <w:ind w:left="576"/>
        <w:rPr>
          <w:highlight w:val="yellow"/>
        </w:rPr>
      </w:pPr>
    </w:p>
    <w:p w14:paraId="624D8729" w14:textId="425D074C" w:rsidR="005740C3" w:rsidRDefault="004E1498" w:rsidP="00F1527A">
      <w:pPr>
        <w:pStyle w:val="Nadpis2"/>
        <w:widowControl w:val="0"/>
      </w:pPr>
      <w:r w:rsidRPr="004E1498">
        <w:t>Z</w:t>
      </w:r>
      <w:r w:rsidR="005740C3">
        <w:t xml:space="preserve">hotovitel je povinen provést a předat </w:t>
      </w:r>
      <w:r w:rsidRPr="004E1498">
        <w:t>Dílo</w:t>
      </w:r>
      <w:r w:rsidR="00253E0C" w:rsidRPr="008E2524">
        <w:t>:</w:t>
      </w:r>
    </w:p>
    <w:p w14:paraId="315DE8A1" w14:textId="0627E683" w:rsidR="00253E0C" w:rsidRDefault="00253E0C" w:rsidP="00253E0C">
      <w:pPr>
        <w:pStyle w:val="Odstavecseseznamem"/>
        <w:spacing w:before="120" w:after="0"/>
        <w:ind w:left="567"/>
        <w:rPr>
          <w:b/>
        </w:rPr>
      </w:pPr>
      <w:r w:rsidRPr="00C3556A">
        <w:rPr>
          <w:b/>
        </w:rPr>
        <w:t>První etapa</w:t>
      </w:r>
      <w:r w:rsidRPr="00B31BF5">
        <w:t xml:space="preserve"> (diagnostika):</w:t>
      </w:r>
      <w:r>
        <w:rPr>
          <w:b/>
        </w:rPr>
        <w:t xml:space="preserve"> nejpozději do 15. 12. 2023</w:t>
      </w:r>
    </w:p>
    <w:p w14:paraId="7AB23609" w14:textId="77777777" w:rsidR="00253E0C" w:rsidRPr="002648E7" w:rsidRDefault="00253E0C" w:rsidP="00253E0C">
      <w:pPr>
        <w:pStyle w:val="Odstavecseseznamem"/>
        <w:spacing w:before="120"/>
        <w:ind w:left="567"/>
        <w:rPr>
          <w:b/>
          <w:sz w:val="6"/>
          <w:szCs w:val="6"/>
        </w:rPr>
      </w:pPr>
    </w:p>
    <w:p w14:paraId="21CFF766" w14:textId="77777777" w:rsidR="00253E0C" w:rsidRDefault="00253E0C" w:rsidP="00253E0C">
      <w:pPr>
        <w:pStyle w:val="Odstavecseseznamem"/>
        <w:spacing w:before="120"/>
        <w:ind w:left="567"/>
        <w:rPr>
          <w:b/>
        </w:rPr>
      </w:pPr>
      <w:r w:rsidRPr="00C3556A">
        <w:rPr>
          <w:b/>
        </w:rPr>
        <w:t>Druhá etapa</w:t>
      </w:r>
      <w:r w:rsidRPr="00B31BF5">
        <w:t xml:space="preserve"> (přepočty):</w:t>
      </w:r>
      <w:r>
        <w:rPr>
          <w:b/>
        </w:rPr>
        <w:t xml:space="preserve"> nejpozději do 30. 06. 2024</w:t>
      </w:r>
    </w:p>
    <w:p w14:paraId="4252CEE9" w14:textId="77777777" w:rsidR="00253E0C" w:rsidRPr="002648E7" w:rsidRDefault="00253E0C" w:rsidP="00253E0C">
      <w:pPr>
        <w:pStyle w:val="Odstavecseseznamem"/>
        <w:spacing w:before="120"/>
        <w:ind w:left="567"/>
        <w:rPr>
          <w:b/>
          <w:sz w:val="6"/>
          <w:szCs w:val="6"/>
        </w:rPr>
      </w:pPr>
    </w:p>
    <w:p w14:paraId="7DD885BA" w14:textId="77777777" w:rsidR="00253E0C" w:rsidRPr="00362E19" w:rsidRDefault="00253E0C" w:rsidP="00253E0C">
      <w:pPr>
        <w:pStyle w:val="Odstavecseseznamem"/>
        <w:spacing w:before="120"/>
        <w:ind w:left="567"/>
        <w:rPr>
          <w:b/>
        </w:rPr>
      </w:pPr>
      <w:r w:rsidRPr="00C3556A">
        <w:rPr>
          <w:b/>
        </w:rPr>
        <w:t>Třetí etapa</w:t>
      </w:r>
      <w:r w:rsidRPr="00B31BF5">
        <w:t xml:space="preserve"> (vyhodnocení celého projektu):</w:t>
      </w:r>
      <w:r>
        <w:rPr>
          <w:b/>
        </w:rPr>
        <w:t xml:space="preserve"> nejpozději do 30. 06. 2025</w:t>
      </w:r>
    </w:p>
    <w:p w14:paraId="38280017" w14:textId="77777777" w:rsidR="004E1498" w:rsidRPr="004E1498" w:rsidRDefault="004E1498" w:rsidP="00302578">
      <w:pPr>
        <w:pStyle w:val="Nadpis1"/>
        <w:widowControl w:val="0"/>
        <w:suppressAutoHyphens w:val="0"/>
        <w:spacing w:before="240"/>
        <w:jc w:val="both"/>
        <w:rPr>
          <w:rFonts w:eastAsia="Times New Roman"/>
          <w:lang w:eastAsia="cs-CZ"/>
        </w:rPr>
      </w:pPr>
      <w:r w:rsidRPr="004E1498">
        <w:rPr>
          <w:rFonts w:eastAsia="Times New Roman"/>
          <w:lang w:eastAsia="cs-CZ"/>
        </w:rPr>
        <w:t>Záruční doba</w:t>
      </w:r>
    </w:p>
    <w:p w14:paraId="76B099DF" w14:textId="3734DE93" w:rsidR="004E1498" w:rsidRPr="006C7697" w:rsidRDefault="004E1498" w:rsidP="00F1527A">
      <w:pPr>
        <w:pStyle w:val="Nadpis2"/>
        <w:widowControl w:val="0"/>
      </w:pPr>
      <w:r w:rsidRPr="004E1498">
        <w:t xml:space="preserve">Záruční doba </w:t>
      </w:r>
      <w:r w:rsidRPr="00753112">
        <w:t xml:space="preserve">činí </w:t>
      </w:r>
      <w:r w:rsidR="002A0AAD" w:rsidRPr="00753112">
        <w:t>60 měsíců</w:t>
      </w:r>
    </w:p>
    <w:p w14:paraId="700C0934" w14:textId="1A8849D4" w:rsidR="004E1498" w:rsidRPr="004E1498" w:rsidRDefault="004E1498" w:rsidP="00F1527A">
      <w:pPr>
        <w:pStyle w:val="Nadpis1"/>
        <w:widowControl w:val="0"/>
        <w:suppressAutoHyphens w:val="0"/>
        <w:jc w:val="both"/>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r w:rsidR="00197130">
        <w:rPr>
          <w:rFonts w:eastAsia="Times New Roman"/>
          <w:lang w:eastAsia="cs-CZ"/>
        </w:rPr>
        <w:t xml:space="preserve"> </w:t>
      </w:r>
    </w:p>
    <w:p w14:paraId="376D5FD9" w14:textId="77777777" w:rsidR="00270BC8" w:rsidRPr="00270BC8" w:rsidRDefault="004E1498" w:rsidP="00270BC8">
      <w:pPr>
        <w:pStyle w:val="Nadpis2"/>
        <w:widowControl w:val="0"/>
      </w:pPr>
      <w:r w:rsidRPr="004E1498">
        <w:t xml:space="preserve">Na </w:t>
      </w:r>
      <w:r w:rsidR="00270BC8" w:rsidRPr="00270BC8">
        <w:t xml:space="preserve">provedení Díla se budou podílet poddodavatelé uvedení v příloze č. 5 této Smlouvy. </w:t>
      </w:r>
    </w:p>
    <w:p w14:paraId="7A02CAF7" w14:textId="77777777" w:rsidR="00270BC8" w:rsidRPr="00270BC8" w:rsidRDefault="00270BC8" w:rsidP="00270BC8">
      <w:pPr>
        <w:pStyle w:val="Nadpis2"/>
        <w:numPr>
          <w:ilvl w:val="0"/>
          <w:numId w:val="0"/>
        </w:numPr>
        <w:ind w:left="576"/>
      </w:pPr>
      <w:r w:rsidRPr="00270BC8">
        <w:rPr>
          <w:highlight w:val="yellow"/>
        </w:rPr>
        <w:t>(jestliže se na provedení díla nebudou podílet poddodavatelé, dodavatel do bodu 6.1 napíše: „Na provedení Díla se nebudou podílet poddodavatelé a v seznamu příloh jí označí jako NEOBSAZENO).</w:t>
      </w:r>
    </w:p>
    <w:p w14:paraId="58315C57" w14:textId="1F16CC1D" w:rsidR="00270BC8" w:rsidRPr="00270BC8" w:rsidRDefault="00270BC8" w:rsidP="00270BC8">
      <w:pPr>
        <w:pStyle w:val="Nadpis2"/>
      </w:pPr>
      <w:r w:rsidRPr="00270BC8">
        <w:t>Na provedení Díla se budou podílet členové realizačního týmu uvedení v příloze č. 6 Oprávněné osoby</w:t>
      </w:r>
      <w:r w:rsidR="0041692D">
        <w:t>.</w:t>
      </w:r>
      <w:r w:rsidRPr="00270BC8">
        <w:t xml:space="preserve"> </w:t>
      </w:r>
    </w:p>
    <w:p w14:paraId="5BBC90E2" w14:textId="78B0641F" w:rsidR="00FD17C6" w:rsidRPr="00270BC8" w:rsidRDefault="00270BC8" w:rsidP="00270BC8">
      <w:pPr>
        <w:pStyle w:val="Nadpis2"/>
        <w:widowControl w:val="0"/>
      </w:pPr>
      <w:r w:rsidRPr="00270BC8">
        <w:t xml:space="preserve">Zhotovitel může v průběhu plnění Předmětu díla nahradit některé osoby z osob, uvedených v seznamu oprávněných osob dle přílohy č. 6 této Smlouvy, pouze po předchozím souhlasu Objednatele na základě písemné žádosti Zhotovitele. V případě, že Zhotovitel požádá o změnu některých členů realizačního týmu oprávněných osob uvedených v příloze č. 6 této Smlouvy, musí tato osoba, splňovat kvalifikaci požadovanou ve Veřejné zakázce. Změna osoby nepodléhá povinnosti uzavřít dodatek ke Smlouvě a proběhne na základě písemného souhlasu Objednatele s touto </w:t>
      </w:r>
      <w:r w:rsidR="00FD17C6" w:rsidRPr="00270BC8">
        <w:t>změnou.</w:t>
      </w:r>
    </w:p>
    <w:p w14:paraId="11AD6701" w14:textId="77777777" w:rsidR="00FD17C6" w:rsidRPr="004E1498" w:rsidRDefault="00FD17C6" w:rsidP="00F1527A">
      <w:pPr>
        <w:widowControl w:val="0"/>
        <w:spacing w:after="0" w:line="240" w:lineRule="auto"/>
        <w:ind w:left="567"/>
        <w:contextualSpacing/>
        <w:jc w:val="both"/>
        <w:rPr>
          <w:rFonts w:eastAsia="Times New Roman" w:cs="Times New Roman"/>
          <w:lang w:eastAsia="cs-CZ"/>
        </w:rPr>
      </w:pPr>
    </w:p>
    <w:p w14:paraId="21F816C5" w14:textId="77777777" w:rsidR="004E1498" w:rsidRPr="004E1498" w:rsidRDefault="004E1498" w:rsidP="00D40E5B">
      <w:pPr>
        <w:pStyle w:val="Nadpis1"/>
        <w:widowControl w:val="0"/>
        <w:suppressAutoHyphens w:val="0"/>
        <w:spacing w:before="120"/>
        <w:jc w:val="both"/>
        <w:rPr>
          <w:rFonts w:eastAsia="Times New Roman"/>
          <w:lang w:eastAsia="cs-CZ"/>
        </w:rPr>
      </w:pPr>
      <w:r w:rsidRPr="004E1498">
        <w:rPr>
          <w:rFonts w:eastAsia="Times New Roman"/>
          <w:lang w:eastAsia="cs-CZ"/>
        </w:rPr>
        <w:t>Další ujednání</w:t>
      </w:r>
    </w:p>
    <w:p w14:paraId="6F0781C7" w14:textId="77777777" w:rsidR="00532E39" w:rsidRPr="00532E39" w:rsidRDefault="004E1498" w:rsidP="00532E39">
      <w:pPr>
        <w:pStyle w:val="Nadpis2"/>
        <w:widowControl w:val="0"/>
      </w:pPr>
      <w:r w:rsidRPr="004E1498">
        <w:t xml:space="preserve">Zhotovitel </w:t>
      </w:r>
      <w:r w:rsidR="00532E39" w:rsidRPr="00532E39">
        <w:t>prohlašuje, že je způsobilý k řádnému a včasnému provedení Díla a že disponuje takovými kapacitami a odbornými znalostmi, které jsou třeba k řádnému provedení Díla.</w:t>
      </w:r>
    </w:p>
    <w:p w14:paraId="0E0AA742" w14:textId="77777777" w:rsidR="00532E39" w:rsidRPr="00532E39" w:rsidRDefault="00532E39" w:rsidP="00532E39">
      <w:pPr>
        <w:pStyle w:val="Nadpis2"/>
      </w:pPr>
      <w:r w:rsidRPr="00532E39">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532E39">
        <w:lastRenderedPageBreak/>
        <w:t>„ZRS“), a současně souhlasí se zveřejněním údajů o identifikaci Smluvních stran, předmětu Smlouvy, jeho ceně či hodnotě a datu uzavření této Smlouvy.</w:t>
      </w:r>
    </w:p>
    <w:p w14:paraId="49BF3B1C" w14:textId="77777777" w:rsidR="00532E39" w:rsidRPr="00532E39" w:rsidRDefault="00532E39" w:rsidP="00532E39">
      <w:pPr>
        <w:pStyle w:val="Nadpis2"/>
      </w:pPr>
      <w:r w:rsidRPr="00532E39">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84B7A7C" w14:textId="77777777" w:rsidR="00532E39" w:rsidRPr="00532E39" w:rsidRDefault="00532E39" w:rsidP="00532E39">
      <w:pPr>
        <w:pStyle w:val="Nadpis2"/>
      </w:pPr>
      <w:r w:rsidRPr="00532E39">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12A6D4AC" w14:textId="77777777" w:rsidR="00532E39" w:rsidRPr="00532E39" w:rsidRDefault="00532E39" w:rsidP="00532E39">
      <w:pPr>
        <w:pStyle w:val="Nadpis2"/>
      </w:pPr>
      <w:r w:rsidRPr="00532E3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BD130E7" w14:textId="6BFFA76F" w:rsidR="004429CF" w:rsidRPr="00532E39" w:rsidRDefault="00532E39" w:rsidP="00532E39">
      <w:pPr>
        <w:pStyle w:val="Nadpis2"/>
      </w:pPr>
      <w:r w:rsidRPr="00532E39">
        <w:t>Osoby uzavírající tuto Smlouvu za Smluvní strany souhlasí s uveřejněním svých osobních údajů, které jsou uvedeny v této Smlouvě, spolu se Smlouvou v registru smluv. Tento souh</w:t>
      </w:r>
      <w:r>
        <w:t>las je udělen na dobu neurčitou.</w:t>
      </w:r>
    </w:p>
    <w:p w14:paraId="012CE368" w14:textId="5805A403" w:rsidR="00AB3FAE" w:rsidRDefault="0073792E" w:rsidP="00F1527A">
      <w:pPr>
        <w:pStyle w:val="Nadpis1"/>
        <w:widowControl w:val="0"/>
        <w:suppressAutoHyphens w:val="0"/>
        <w:jc w:val="both"/>
        <w:rPr>
          <w:rFonts w:eastAsia="Times New Roman"/>
          <w:b w:val="0"/>
          <w:lang w:eastAsia="cs-CZ"/>
        </w:rPr>
      </w:pPr>
      <w:r>
        <w:rPr>
          <w:rFonts w:eastAsia="Times New Roman"/>
          <w:lang w:eastAsia="cs-CZ"/>
        </w:rPr>
        <w:t>Střet zájmů, povinnosti Zhotovitele v souvislosti s konfliktem na Ukrajině</w:t>
      </w:r>
    </w:p>
    <w:p w14:paraId="2D7AB5F6" w14:textId="77777777" w:rsidR="0045363E" w:rsidRPr="0045363E" w:rsidRDefault="0073792E" w:rsidP="0045363E">
      <w:pPr>
        <w:pStyle w:val="Nadpis2"/>
        <w:widowControl w:val="0"/>
      </w:pPr>
      <w:proofErr w:type="gramStart"/>
      <w:r>
        <w:rPr>
          <w:rFonts w:eastAsia="Calibri"/>
        </w:rPr>
        <w:t>Zhotovitel</w:t>
      </w:r>
      <w:proofErr w:type="gramEnd"/>
      <w:r w:rsidRPr="0073792E">
        <w:t xml:space="preserve"> </w:t>
      </w:r>
      <w:r w:rsidR="0045363E" w:rsidRPr="0045363E">
        <w:t xml:space="preserve">prohlašuje, že není obchodní společností, ve které veřejný funkcionář uvedený v </w:t>
      </w:r>
      <w:proofErr w:type="spellStart"/>
      <w:proofErr w:type="gramStart"/>
      <w:r w:rsidR="0045363E" w:rsidRPr="0045363E">
        <w:t>ust</w:t>
      </w:r>
      <w:proofErr w:type="spellEnd"/>
      <w:r w:rsidR="0045363E" w:rsidRPr="0045363E">
        <w:t>.</w:t>
      </w:r>
      <w:proofErr w:type="gramEnd"/>
      <w:r w:rsidR="0045363E" w:rsidRPr="0045363E">
        <w:t xml:space="preserve"> § 2 odst. 1 písm. c) zákona č. 159/2006 Sb., o střetu zájmů, ve znění pozdějších předpisů (dále jen </w:t>
      </w:r>
      <w:r w:rsidR="0045363E" w:rsidRPr="0045363E">
        <w:rPr>
          <w:b/>
        </w:rPr>
        <w:t>„Zákon o střetu zájmů“</w:t>
      </w:r>
      <w:r w:rsidR="0045363E" w:rsidRPr="0045363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45363E" w:rsidRPr="0045363E">
        <w:t>ust</w:t>
      </w:r>
      <w:proofErr w:type="spellEnd"/>
      <w:r w:rsidR="0045363E" w:rsidRPr="0045363E">
        <w:t>. § 2 odst. 1 písm. c) Zákona o střetu zájmů nebo jím ovládaná osoba vlastní podíl představující alespoň 25 % účasti společníka v obchodní společnosti.</w:t>
      </w:r>
    </w:p>
    <w:p w14:paraId="57A37A27" w14:textId="77777777" w:rsidR="0045363E" w:rsidRPr="0045363E" w:rsidRDefault="0045363E" w:rsidP="0045363E">
      <w:pPr>
        <w:pStyle w:val="Nadpis2"/>
        <w:widowControl w:val="0"/>
      </w:pPr>
      <w:r w:rsidRPr="0045363E">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35921790" w14:textId="13E075FD" w:rsidR="0045363E" w:rsidRPr="0045363E" w:rsidRDefault="0045363E" w:rsidP="0045363E">
      <w:pPr>
        <w:pStyle w:val="Nadpis2"/>
        <w:widowControl w:val="0"/>
      </w:pPr>
      <w:r w:rsidRPr="0045363E">
        <w:t>Je-li Zhotovitel sdružení více osob, platí podmínky dle odstavce 8.1 a 8.2 této Smlouvy také jednotlivě pro všechny osoby v rámci Zhotovitele sdružené a to bez ohledu na právní formu tohoto sdružení.</w:t>
      </w:r>
    </w:p>
    <w:p w14:paraId="409ED0A5" w14:textId="77777777" w:rsidR="0045363E" w:rsidRPr="0045363E" w:rsidRDefault="0045363E" w:rsidP="0045363E">
      <w:pPr>
        <w:pStyle w:val="Nadpis2"/>
        <w:widowControl w:val="0"/>
      </w:pPr>
      <w:bookmarkStart w:id="0" w:name="_Ref140149298"/>
      <w:r w:rsidRPr="0045363E">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bookmarkEnd w:id="0"/>
    </w:p>
    <w:p w14:paraId="27B721E9" w14:textId="77777777" w:rsidR="0045363E" w:rsidRPr="0045363E" w:rsidRDefault="0045363E" w:rsidP="0045363E">
      <w:pPr>
        <w:pStyle w:val="Nadpis2"/>
        <w:widowControl w:val="0"/>
      </w:pPr>
      <w:r w:rsidRPr="0045363E">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79CA490" w14:textId="77777777" w:rsidR="0045363E" w:rsidRPr="0045363E" w:rsidRDefault="0045363E" w:rsidP="0045363E">
      <w:pPr>
        <w:pStyle w:val="Nadpis2"/>
        <w:widowControl w:val="0"/>
      </w:pPr>
      <w:r w:rsidRPr="0045363E">
        <w:t xml:space="preserve">Zhotovitel 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w:t>
      </w:r>
      <w:r w:rsidRPr="0045363E">
        <w:lastRenderedPageBreak/>
        <w:t>základě této Smlouvy a jejích případných dodatků, nezpřístupní přímo ani nepřímo fyzickým nebo právnickým osobám, subjektům či orgánům s nimi spojeným uvedeným v sankčních seznamech, nebo v jejich prospěch.</w:t>
      </w:r>
    </w:p>
    <w:p w14:paraId="57CF7C6B" w14:textId="7074E643" w:rsidR="00AB3FAE" w:rsidRPr="00EC44FE" w:rsidRDefault="0045363E" w:rsidP="0045363E">
      <w:pPr>
        <w:pStyle w:val="Nadpis2"/>
        <w:widowControl w:val="0"/>
      </w:pPr>
      <w:r w:rsidRPr="0045363E">
        <w:t xml:space="preserve">Ukáží-li se prohlášení Zhotovitele dle odstavce </w:t>
      </w:r>
      <w:r w:rsidR="000952EA">
        <w:t xml:space="preserve">8.1 </w:t>
      </w:r>
      <w:bookmarkStart w:id="1" w:name="_GoBack"/>
      <w:bookmarkEnd w:id="1"/>
      <w:r w:rsidRPr="0045363E">
        <w:t xml:space="preserve">a 8.2 této Smlouvy jako nepravdivá nebo poruší-li Zhotovitel svou oznamovací povinnost dle odstavce </w:t>
      </w:r>
      <w:r w:rsidR="00FB1205">
        <w:t>8.4</w:t>
      </w:r>
      <w:r w:rsidRPr="0045363E">
        <w:t xml:space="preserve"> nebo povinnosti dle odstavců 8.5 nebo 8.6 této Smlouvy, je Kupující oprávněn odstoupit od této Smlouvy. Zhotovitel je dále povinen zaplatit za každé jednotlivé porušení povinností dle předchozí věty smluvní pokutu ve výši 5 % procent z Ceny dodávky bez DPH sjednané dle této Smlouvy. Ustanovení § 2004 odst. 2 Občanského zákoníku a § 2050 Občanského zákoníku </w:t>
      </w:r>
      <w:r w:rsidR="0073792E" w:rsidRPr="0073792E">
        <w:t>se nepoužijí.</w:t>
      </w:r>
    </w:p>
    <w:p w14:paraId="7ACA4F45" w14:textId="7FF43CDA" w:rsidR="004E1498" w:rsidRPr="004E1498" w:rsidRDefault="004E1498" w:rsidP="00F1527A">
      <w:pPr>
        <w:pStyle w:val="Nadpis1"/>
        <w:widowControl w:val="0"/>
        <w:suppressAutoHyphens w:val="0"/>
        <w:jc w:val="both"/>
        <w:rPr>
          <w:rFonts w:eastAsia="Times New Roman"/>
          <w:lang w:eastAsia="cs-CZ"/>
        </w:rPr>
      </w:pPr>
      <w:r w:rsidRPr="004E1498">
        <w:rPr>
          <w:rFonts w:eastAsia="Times New Roman"/>
          <w:lang w:eastAsia="cs-CZ"/>
        </w:rPr>
        <w:t>Závěrečná ujednání</w:t>
      </w:r>
    </w:p>
    <w:p w14:paraId="3E9C8E75" w14:textId="77777777" w:rsidR="00170ED9" w:rsidRPr="00170ED9" w:rsidRDefault="004E1498" w:rsidP="00170ED9">
      <w:pPr>
        <w:pStyle w:val="Nadpis2"/>
        <w:widowControl w:val="0"/>
      </w:pPr>
      <w:r w:rsidRPr="004E1498">
        <w:t xml:space="preserve">Tato </w:t>
      </w:r>
      <w:r w:rsidR="00170ED9" w:rsidRPr="00170ED9">
        <w:t>Smlouva se řídí Obchodními podmínkami ke Smlouvě o dílo (dále jen „Obchodní podmínky“). Odchylná ujednání ve Smlouvě o dílo mají před zněním Obchodních podmínek přednost.</w:t>
      </w:r>
    </w:p>
    <w:p w14:paraId="1711FCB1" w14:textId="77777777" w:rsidR="00170ED9" w:rsidRPr="00170ED9" w:rsidRDefault="00170ED9" w:rsidP="00170ED9">
      <w:pPr>
        <w:widowControl w:val="0"/>
        <w:numPr>
          <w:ilvl w:val="1"/>
          <w:numId w:val="17"/>
        </w:numPr>
        <w:overflowPunct w:val="0"/>
        <w:autoSpaceDE w:val="0"/>
        <w:autoSpaceDN w:val="0"/>
        <w:adjustRightInd w:val="0"/>
        <w:spacing w:after="0" w:line="240" w:lineRule="auto"/>
        <w:contextualSpacing/>
        <w:jc w:val="both"/>
        <w:textAlignment w:val="baseline"/>
        <w:outlineLvl w:val="1"/>
        <w:rPr>
          <w:rFonts w:eastAsia="Times New Roman" w:cs="Times New Roman"/>
          <w:lang w:eastAsia="cs-CZ"/>
        </w:rPr>
      </w:pPr>
      <w:r w:rsidRPr="00170ED9">
        <w:rPr>
          <w:rFonts w:eastAsia="Times New Roman" w:cs="Times New Roman"/>
          <w:lang w:eastAsia="cs-CZ"/>
        </w:rPr>
        <w:t>Zhotovitel prohlašuje, že se se zněním Obchodních podmínek  před podpisem této Smlouvy seznámil v dostatečném rozsahu a že, se seznámil s veškerými požadavky Objednatele dle této Smlouvy, přičemž si není vědom žádných překážek, které by mu bránily v poskytnutí sjednaného plnění v souladu s touto Smlouvou.</w:t>
      </w:r>
    </w:p>
    <w:p w14:paraId="2817DD9B" w14:textId="77777777" w:rsidR="00170ED9" w:rsidRPr="00170ED9" w:rsidRDefault="00170ED9" w:rsidP="00170ED9">
      <w:pPr>
        <w:numPr>
          <w:ilvl w:val="1"/>
          <w:numId w:val="17"/>
        </w:numPr>
        <w:overflowPunct w:val="0"/>
        <w:autoSpaceDE w:val="0"/>
        <w:autoSpaceDN w:val="0"/>
        <w:adjustRightInd w:val="0"/>
        <w:spacing w:after="0" w:line="240" w:lineRule="auto"/>
        <w:contextualSpacing/>
        <w:jc w:val="both"/>
        <w:textAlignment w:val="baseline"/>
        <w:outlineLvl w:val="1"/>
        <w:rPr>
          <w:rFonts w:eastAsia="Times New Roman" w:cs="Times New Roman"/>
          <w:lang w:eastAsia="cs-CZ"/>
        </w:rPr>
      </w:pPr>
      <w:r w:rsidRPr="00170ED9">
        <w:rPr>
          <w:rFonts w:eastAsia="Times New Roman" w:cs="Times New Roman"/>
          <w:lang w:eastAsia="cs-CZ"/>
        </w:rPr>
        <w:t xml:space="preserve">Tato Smlouva je vyhotovena v listinné podobě, přičemž obě Smluvní strany obdrží její originál opatřený vlastnoručními podpisy. Smlouva, bude sepsána ve </w:t>
      </w:r>
      <w:r w:rsidRPr="00170ED9">
        <w:rPr>
          <w:rFonts w:eastAsia="Times New Roman" w:cs="Times New Roman"/>
          <w:highlight w:val="yellow"/>
          <w:lang w:eastAsia="cs-CZ"/>
        </w:rPr>
        <w:t>třech</w:t>
      </w:r>
      <w:r w:rsidRPr="00170ED9">
        <w:rPr>
          <w:rFonts w:eastAsia="Times New Roman" w:cs="Times New Roman"/>
          <w:lang w:eastAsia="cs-CZ"/>
        </w:rPr>
        <w:t xml:space="preserve"> vyhotoveních, ve dvou vyhotoveních pro Objednatele a </w:t>
      </w:r>
      <w:r w:rsidRPr="00170ED9">
        <w:rPr>
          <w:rFonts w:eastAsia="Times New Roman" w:cs="Times New Roman"/>
          <w:highlight w:val="yellow"/>
          <w:lang w:eastAsia="cs-CZ"/>
        </w:rPr>
        <w:t>jedno</w:t>
      </w:r>
      <w:r w:rsidRPr="00170ED9">
        <w:rPr>
          <w:rFonts w:eastAsia="Times New Roman" w:cs="Times New Roman"/>
          <w:lang w:eastAsia="cs-CZ"/>
        </w:rPr>
        <w:t>m pro Zhotovitele.</w:t>
      </w:r>
    </w:p>
    <w:p w14:paraId="369D4BD7" w14:textId="77777777" w:rsidR="00170ED9" w:rsidRPr="00170ED9" w:rsidRDefault="00170ED9" w:rsidP="00170ED9">
      <w:pPr>
        <w:spacing w:after="0"/>
        <w:ind w:left="567"/>
        <w:rPr>
          <w:sz w:val="6"/>
          <w:szCs w:val="6"/>
          <w:lang w:eastAsia="cs-CZ"/>
        </w:rPr>
      </w:pPr>
    </w:p>
    <w:p w14:paraId="4B734A5A" w14:textId="77777777" w:rsidR="00170ED9" w:rsidRPr="00170ED9" w:rsidRDefault="00170ED9" w:rsidP="00170ED9">
      <w:pPr>
        <w:widowControl w:val="0"/>
        <w:numPr>
          <w:ilvl w:val="1"/>
          <w:numId w:val="17"/>
        </w:numPr>
        <w:overflowPunct w:val="0"/>
        <w:autoSpaceDE w:val="0"/>
        <w:autoSpaceDN w:val="0"/>
        <w:adjustRightInd w:val="0"/>
        <w:spacing w:after="0" w:line="240" w:lineRule="auto"/>
        <w:ind w:left="567" w:hanging="567"/>
        <w:contextualSpacing/>
        <w:jc w:val="both"/>
        <w:textAlignment w:val="baseline"/>
        <w:outlineLvl w:val="1"/>
        <w:rPr>
          <w:rFonts w:eastAsia="Times New Roman" w:cs="Times New Roman"/>
          <w:lang w:eastAsia="cs-CZ"/>
        </w:rPr>
      </w:pPr>
      <w:r w:rsidRPr="00170ED9">
        <w:rPr>
          <w:rFonts w:eastAsia="Times New Roman" w:cs="Times New Roman"/>
          <w:lang w:eastAsia="cs-CZ"/>
        </w:rPr>
        <w:t>Veškerá práva a povinnosti Smluvních stran vyplývající ze Smlouvy o dílo a Obchodních podmínek se řídí českým právním řádem.</w:t>
      </w:r>
    </w:p>
    <w:p w14:paraId="20F830F8" w14:textId="77777777" w:rsidR="00170ED9" w:rsidRPr="00170ED9" w:rsidRDefault="00170ED9" w:rsidP="00170ED9">
      <w:pPr>
        <w:widowControl w:val="0"/>
        <w:numPr>
          <w:ilvl w:val="1"/>
          <w:numId w:val="17"/>
        </w:numPr>
        <w:overflowPunct w:val="0"/>
        <w:autoSpaceDE w:val="0"/>
        <w:autoSpaceDN w:val="0"/>
        <w:adjustRightInd w:val="0"/>
        <w:spacing w:after="0" w:line="240" w:lineRule="auto"/>
        <w:ind w:left="567" w:hanging="567"/>
        <w:contextualSpacing/>
        <w:jc w:val="both"/>
        <w:textAlignment w:val="baseline"/>
        <w:outlineLvl w:val="1"/>
        <w:rPr>
          <w:rFonts w:eastAsia="Times New Roman" w:cs="Times New Roman"/>
          <w:lang w:eastAsia="cs-CZ"/>
        </w:rPr>
      </w:pPr>
      <w:r w:rsidRPr="00170ED9">
        <w:rPr>
          <w:rFonts w:eastAsia="Times New Roman" w:cs="Times New Roman"/>
          <w:lang w:eastAsia="cs-CZ"/>
        </w:rPr>
        <w:t>Smluvní vztahy neupravené Smlouvou o dílo a Obchodními podmínkami se řídí Občanským zákoníkem a dalšími právními předpisy.</w:t>
      </w:r>
    </w:p>
    <w:p w14:paraId="6C7B5E80" w14:textId="77777777" w:rsidR="00170ED9" w:rsidRPr="00170ED9" w:rsidRDefault="00170ED9" w:rsidP="00170ED9">
      <w:pPr>
        <w:widowControl w:val="0"/>
        <w:numPr>
          <w:ilvl w:val="1"/>
          <w:numId w:val="17"/>
        </w:numPr>
        <w:overflowPunct w:val="0"/>
        <w:autoSpaceDE w:val="0"/>
        <w:autoSpaceDN w:val="0"/>
        <w:adjustRightInd w:val="0"/>
        <w:spacing w:after="0" w:line="240" w:lineRule="auto"/>
        <w:ind w:left="567" w:hanging="567"/>
        <w:contextualSpacing/>
        <w:jc w:val="both"/>
        <w:textAlignment w:val="baseline"/>
        <w:outlineLvl w:val="1"/>
        <w:rPr>
          <w:rFonts w:eastAsia="Times New Roman" w:cs="Times New Roman"/>
          <w:lang w:eastAsia="cs-CZ"/>
        </w:rPr>
      </w:pPr>
      <w:r w:rsidRPr="00170ED9">
        <w:rPr>
          <w:rFonts w:eastAsia="Times New Roman" w:cs="Times New Roman"/>
          <w:lang w:eastAsia="cs-CZ"/>
        </w:rPr>
        <w:t>Všechny spory vznikající ze Smlouvy o dílo a v souvislosti s ní budou dle vůle Smluvních stran rozhodovány soudy České republiky, jakožto soudy výlučně příslušnými.</w:t>
      </w:r>
    </w:p>
    <w:p w14:paraId="53E54E7B" w14:textId="77777777" w:rsidR="00170ED9" w:rsidRPr="00170ED9" w:rsidRDefault="00170ED9" w:rsidP="00170ED9">
      <w:pPr>
        <w:widowControl w:val="0"/>
        <w:numPr>
          <w:ilvl w:val="1"/>
          <w:numId w:val="17"/>
        </w:numPr>
        <w:overflowPunct w:val="0"/>
        <w:autoSpaceDE w:val="0"/>
        <w:autoSpaceDN w:val="0"/>
        <w:adjustRightInd w:val="0"/>
        <w:spacing w:after="0" w:line="240" w:lineRule="auto"/>
        <w:ind w:left="567" w:hanging="567"/>
        <w:contextualSpacing/>
        <w:jc w:val="both"/>
        <w:textAlignment w:val="baseline"/>
        <w:outlineLvl w:val="1"/>
        <w:rPr>
          <w:rFonts w:eastAsia="Times New Roman" w:cs="Times New Roman"/>
          <w:lang w:eastAsia="cs-CZ"/>
        </w:rPr>
      </w:pPr>
      <w:r w:rsidRPr="00170ED9">
        <w:rPr>
          <w:rFonts w:eastAsia="Times New Roman" w:cs="Times New Roman"/>
          <w:lang w:eastAsia="cs-CZ"/>
        </w:rPr>
        <w:t>Smlouvu o dílo lze měnit pouze písemnými dodatky.</w:t>
      </w:r>
    </w:p>
    <w:p w14:paraId="1F00B9CD" w14:textId="77777777" w:rsidR="00170ED9" w:rsidRPr="00170ED9" w:rsidRDefault="00170ED9" w:rsidP="00170ED9">
      <w:pPr>
        <w:numPr>
          <w:ilvl w:val="1"/>
          <w:numId w:val="17"/>
        </w:numPr>
        <w:overflowPunct w:val="0"/>
        <w:autoSpaceDE w:val="0"/>
        <w:autoSpaceDN w:val="0"/>
        <w:adjustRightInd w:val="0"/>
        <w:spacing w:after="0" w:line="240" w:lineRule="auto"/>
        <w:contextualSpacing/>
        <w:jc w:val="both"/>
        <w:textAlignment w:val="baseline"/>
        <w:outlineLvl w:val="1"/>
        <w:rPr>
          <w:rFonts w:eastAsia="Times New Roman" w:cs="Times New Roman"/>
          <w:lang w:eastAsia="cs-CZ"/>
        </w:rPr>
      </w:pPr>
      <w:proofErr w:type="spellStart"/>
      <w:r w:rsidRPr="00170ED9">
        <w:rPr>
          <w:rFonts w:eastAsia="Times New Roman" w:cs="Times New Roman"/>
          <w:lang w:eastAsia="cs-CZ"/>
        </w:rPr>
        <w:t>Compliance</w:t>
      </w:r>
      <w:proofErr w:type="spellEnd"/>
      <w:r w:rsidRPr="00170ED9">
        <w:rPr>
          <w:rFonts w:eastAsia="Times New Roman" w:cs="Times New Roman"/>
          <w:lang w:eastAsia="cs-CZ"/>
        </w:rPr>
        <w:t xml:space="preserve"> doložka a etické zásady </w:t>
      </w:r>
    </w:p>
    <w:p w14:paraId="79E49D46" w14:textId="77777777" w:rsidR="00170ED9" w:rsidRPr="00170ED9" w:rsidRDefault="00170ED9" w:rsidP="00170ED9">
      <w:pPr>
        <w:spacing w:after="0"/>
        <w:ind w:left="567"/>
      </w:pPr>
      <w:r w:rsidRPr="00170ED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70ED9">
        <w:t>compliance</w:t>
      </w:r>
      <w:proofErr w:type="spellEnd"/>
      <w:r w:rsidRPr="00170ED9">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170ED9">
          <w:t>https://www.spravazeleznic.cz/o-nas/nazadouci-jednani-a-boj-s-korupci</w:t>
        </w:r>
      </w:hyperlink>
    </w:p>
    <w:p w14:paraId="52728249" w14:textId="77777777" w:rsidR="00170ED9" w:rsidRPr="00170ED9" w:rsidRDefault="00170ED9" w:rsidP="00170ED9">
      <w:pPr>
        <w:numPr>
          <w:ilvl w:val="1"/>
          <w:numId w:val="17"/>
        </w:numPr>
        <w:overflowPunct w:val="0"/>
        <w:autoSpaceDE w:val="0"/>
        <w:autoSpaceDN w:val="0"/>
        <w:adjustRightInd w:val="0"/>
        <w:spacing w:after="0" w:line="240" w:lineRule="auto"/>
        <w:contextualSpacing/>
        <w:jc w:val="both"/>
        <w:textAlignment w:val="baseline"/>
        <w:outlineLvl w:val="1"/>
        <w:rPr>
          <w:rFonts w:eastAsia="Times New Roman" w:cs="Times New Roman"/>
          <w:b/>
          <w:lang w:eastAsia="cs-CZ"/>
        </w:rPr>
      </w:pPr>
      <w:r w:rsidRPr="00170ED9">
        <w:rPr>
          <w:rFonts w:eastAsia="Times New Roman" w:cs="Times New Roman"/>
          <w:lang w:eastAsia="cs-CZ"/>
        </w:rPr>
        <w:t>Zhotovitel se zavazuje přijmout vhodná technická a organizační opatření podle nařízení Evropského parlamentu a Rady (EU) 2016/679 ze dne 27. dubna 2016 o ochraně fyzických osob v souvislosti se zaprac</w:t>
      </w:r>
      <w:r w:rsidRPr="00170ED9">
        <w:rPr>
          <w:rFonts w:ascii="Calibri" w:hAnsi="Calibri" w:cs="Calibri"/>
          <w:sz w:val="22"/>
          <w:szCs w:val="22"/>
          <w:lang w:eastAsia="cs-CZ"/>
        </w:rPr>
        <w:t>o</w:t>
      </w:r>
      <w:r w:rsidRPr="00170ED9">
        <w:rPr>
          <w:rFonts w:eastAsia="Times New Roman" w:cs="Times New Roman"/>
          <w:lang w:eastAsia="cs-CZ"/>
        </w:rP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DFD0E1A" w14:textId="77777777" w:rsidR="00170ED9" w:rsidRPr="00170ED9" w:rsidRDefault="00170ED9" w:rsidP="00170ED9">
      <w:pPr>
        <w:widowControl w:val="0"/>
        <w:numPr>
          <w:ilvl w:val="1"/>
          <w:numId w:val="17"/>
        </w:numPr>
        <w:overflowPunct w:val="0"/>
        <w:autoSpaceDE w:val="0"/>
        <w:autoSpaceDN w:val="0"/>
        <w:adjustRightInd w:val="0"/>
        <w:spacing w:after="0" w:line="240" w:lineRule="auto"/>
        <w:ind w:left="567" w:hanging="567"/>
        <w:contextualSpacing/>
        <w:jc w:val="both"/>
        <w:textAlignment w:val="baseline"/>
        <w:outlineLvl w:val="1"/>
        <w:rPr>
          <w:rFonts w:eastAsia="Times New Roman" w:cs="Times New Roman"/>
          <w:lang w:eastAsia="cs-CZ"/>
        </w:rPr>
      </w:pPr>
      <w:r w:rsidRPr="00170ED9">
        <w:rPr>
          <w:rFonts w:eastAsia="Times New Roman" w:cs="Times New Roman"/>
          <w:lang w:eastAsia="cs-CZ"/>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4012BE48" w14:textId="77777777" w:rsidR="00170ED9" w:rsidRPr="00170ED9" w:rsidRDefault="00170ED9" w:rsidP="00170ED9">
      <w:pPr>
        <w:widowControl w:val="0"/>
        <w:numPr>
          <w:ilvl w:val="1"/>
          <w:numId w:val="17"/>
        </w:numPr>
        <w:overflowPunct w:val="0"/>
        <w:autoSpaceDE w:val="0"/>
        <w:autoSpaceDN w:val="0"/>
        <w:adjustRightInd w:val="0"/>
        <w:spacing w:after="0" w:line="240" w:lineRule="auto"/>
        <w:ind w:left="567" w:hanging="567"/>
        <w:contextualSpacing/>
        <w:jc w:val="both"/>
        <w:textAlignment w:val="baseline"/>
        <w:outlineLvl w:val="1"/>
        <w:rPr>
          <w:rFonts w:eastAsia="Times New Roman" w:cs="Times New Roman"/>
          <w:lang w:eastAsia="cs-CZ"/>
        </w:rPr>
      </w:pPr>
      <w:r w:rsidRPr="00170ED9">
        <w:rPr>
          <w:rFonts w:eastAsia="Times New Roman" w:cs="Times New Roman"/>
          <w:lang w:eastAsia="cs-CZ"/>
        </w:rPr>
        <w:t>Pokud některá ustanovení Obchodních podmínek nebo jejich část nelze vzhledem k povaze Díla objektivně a zcela zřejmě použít, pak z takových ustanovení nebo jejich částí práva ani povinnosti Smluvním stranám nevznikají.</w:t>
      </w:r>
    </w:p>
    <w:p w14:paraId="2A1AAAE5" w14:textId="77777777" w:rsidR="00170ED9" w:rsidRPr="00170ED9" w:rsidRDefault="00170ED9" w:rsidP="00170ED9">
      <w:pPr>
        <w:widowControl w:val="0"/>
        <w:numPr>
          <w:ilvl w:val="1"/>
          <w:numId w:val="17"/>
        </w:numPr>
        <w:overflowPunct w:val="0"/>
        <w:autoSpaceDE w:val="0"/>
        <w:autoSpaceDN w:val="0"/>
        <w:adjustRightInd w:val="0"/>
        <w:spacing w:after="0" w:line="240" w:lineRule="auto"/>
        <w:ind w:left="567" w:hanging="567"/>
        <w:contextualSpacing/>
        <w:jc w:val="both"/>
        <w:textAlignment w:val="baseline"/>
        <w:outlineLvl w:val="1"/>
        <w:rPr>
          <w:rFonts w:eastAsia="Times New Roman" w:cs="Times New Roman"/>
          <w:lang w:eastAsia="cs-CZ"/>
        </w:rPr>
      </w:pPr>
      <w:r w:rsidRPr="00170ED9">
        <w:rPr>
          <w:rFonts w:eastAsia="Times New Roman" w:cs="Times New Roman"/>
          <w:lang w:eastAsia="cs-CZ"/>
        </w:rPr>
        <w:t>Zvláštní podmínky, na které odkazuje Smlouva o dílo, mají přednost před zněním Obchodních podmínek, Obchodní podmínky se užijí v rozsahu, v jakém nejsou v rozporu s takovými zvláštními podmínkami.</w:t>
      </w:r>
    </w:p>
    <w:p w14:paraId="4C1A93EA" w14:textId="674D3EA3" w:rsidR="004E1498" w:rsidRDefault="00170ED9" w:rsidP="00170ED9">
      <w:pPr>
        <w:pStyle w:val="Nadpis2"/>
        <w:widowControl w:val="0"/>
        <w:rPr>
          <w:rFonts w:eastAsia="Calibri"/>
        </w:rPr>
      </w:pPr>
      <w:r w:rsidRPr="00170ED9">
        <w:rPr>
          <w:rFonts w:eastAsia="Calibri" w:cstheme="minorBidi"/>
          <w:lang w:eastAsia="en-US"/>
        </w:rPr>
        <w:t xml:space="preserve">Tato Smlouva nabývá platnosti okamžikem podpisu poslední ze Smluvních stran. Je-li Smlouva uveřejňována v registru smluv, nabývá účinnosti dnem uveřejnění v registru smluv, jinak je účinná od okamžiku </w:t>
      </w:r>
      <w:r w:rsidR="004E1498" w:rsidRPr="00776504">
        <w:rPr>
          <w:rFonts w:eastAsia="Calibri"/>
        </w:rPr>
        <w:t>uzavření.</w:t>
      </w:r>
    </w:p>
    <w:p w14:paraId="1968D2D3" w14:textId="77777777" w:rsidR="00036143" w:rsidRPr="00036143" w:rsidRDefault="00036143" w:rsidP="00036143">
      <w:pPr>
        <w:rPr>
          <w:lang w:eastAsia="cs-CZ"/>
        </w:rPr>
      </w:pPr>
    </w:p>
    <w:p w14:paraId="7BCD9A30" w14:textId="77777777" w:rsidR="004E1498" w:rsidRPr="004E1498"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470663">
      <w:pPr>
        <w:widowControl w:val="0"/>
        <w:overflowPunct w:val="0"/>
        <w:autoSpaceDE w:val="0"/>
        <w:autoSpaceDN w:val="0"/>
        <w:adjustRightInd w:val="0"/>
        <w:spacing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13F6B238" w14:textId="2BB12FAC" w:rsidR="00315CEB" w:rsidRPr="00F1527A" w:rsidRDefault="00315CEB" w:rsidP="00F1527A">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F1527A">
        <w:rPr>
          <w:rFonts w:eastAsia="Times New Roman" w:cs="Times New Roman"/>
          <w:lang w:eastAsia="cs-CZ"/>
        </w:rPr>
        <w:t>Obchodní podmínky ke Smlouvě o dílo</w:t>
      </w:r>
    </w:p>
    <w:p w14:paraId="132EAB42" w14:textId="3A6A14E4" w:rsidR="006E6E61" w:rsidRPr="00E077BE" w:rsidRDefault="000F512C" w:rsidP="00F1527A">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E077BE">
        <w:rPr>
          <w:rFonts w:eastAsia="Times New Roman" w:cs="Times New Roman"/>
          <w:lang w:eastAsia="cs-CZ"/>
        </w:rPr>
        <w:t>Technická zpráva</w:t>
      </w:r>
    </w:p>
    <w:p w14:paraId="006CBB1A" w14:textId="640A1264" w:rsidR="006E6E61" w:rsidRPr="00E077BE" w:rsidRDefault="004429CF" w:rsidP="00F1527A">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E077BE">
        <w:rPr>
          <w:rFonts w:eastAsia="Times New Roman" w:cs="Times New Roman"/>
          <w:lang w:eastAsia="cs-CZ"/>
        </w:rPr>
        <w:t>O</w:t>
      </w:r>
      <w:r w:rsidR="006E6E61" w:rsidRPr="00E077BE">
        <w:rPr>
          <w:rFonts w:eastAsia="Times New Roman" w:cs="Times New Roman"/>
          <w:lang w:eastAsia="cs-CZ"/>
        </w:rPr>
        <w:t>ceněný položkový rozpočet</w:t>
      </w:r>
    </w:p>
    <w:p w14:paraId="665289CB" w14:textId="741B690A" w:rsidR="006E6E61" w:rsidRPr="00E077BE" w:rsidRDefault="000F512C" w:rsidP="00F1527A">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E077BE">
        <w:rPr>
          <w:rFonts w:eastAsia="Times New Roman" w:cs="Times New Roman"/>
          <w:lang w:eastAsia="cs-CZ"/>
        </w:rPr>
        <w:t>Seznam požadovaných pojištění</w:t>
      </w:r>
    </w:p>
    <w:p w14:paraId="077D172E" w14:textId="158DCA64" w:rsidR="006E6E61" w:rsidRPr="00E077BE" w:rsidRDefault="004429CF" w:rsidP="00F1527A">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E077BE">
        <w:rPr>
          <w:rFonts w:eastAsia="Times New Roman" w:cs="Times New Roman"/>
          <w:lang w:eastAsia="cs-CZ"/>
        </w:rPr>
        <w:t>S</w:t>
      </w:r>
      <w:r w:rsidR="006E6E61" w:rsidRPr="00E077BE">
        <w:rPr>
          <w:rFonts w:eastAsia="Times New Roman" w:cs="Times New Roman"/>
          <w:lang w:eastAsia="cs-CZ"/>
        </w:rPr>
        <w:t>eznam poddodavatelů</w:t>
      </w:r>
      <w:r w:rsidRPr="00E077BE">
        <w:rPr>
          <w:rFonts w:eastAsia="Times New Roman" w:cs="Times New Roman"/>
          <w:lang w:eastAsia="cs-CZ"/>
        </w:rPr>
        <w:t xml:space="preserve"> </w:t>
      </w:r>
    </w:p>
    <w:p w14:paraId="7B9A201D" w14:textId="287C3B1A" w:rsidR="000F512C" w:rsidRPr="00E077BE" w:rsidRDefault="000F512C" w:rsidP="00F1527A">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E077BE">
        <w:rPr>
          <w:rFonts w:eastAsia="Times New Roman" w:cs="Times New Roman"/>
          <w:lang w:eastAsia="cs-CZ"/>
        </w:rPr>
        <w:t>Oprávněné osoby</w:t>
      </w:r>
    </w:p>
    <w:p w14:paraId="64EEE3E6" w14:textId="05C07376" w:rsidR="006E6E61" w:rsidRPr="00E077BE" w:rsidRDefault="004429CF" w:rsidP="00F1527A">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E077BE">
        <w:rPr>
          <w:rFonts w:eastAsia="Times New Roman" w:cs="Times New Roman"/>
          <w:lang w:eastAsia="cs-CZ"/>
        </w:rPr>
        <w:t>P</w:t>
      </w:r>
      <w:r w:rsidR="00B27209" w:rsidRPr="00E077BE">
        <w:rPr>
          <w:rFonts w:eastAsia="Times New Roman" w:cs="Times New Roman"/>
          <w:lang w:eastAsia="cs-CZ"/>
        </w:rPr>
        <w:t>lná moc (pouze v případě zastoupení zhotovitele osobou na základě plné moci)</w:t>
      </w:r>
    </w:p>
    <w:p w14:paraId="2C972E44" w14:textId="77777777" w:rsidR="00E077BE" w:rsidRDefault="00E077BE" w:rsidP="00E077BE">
      <w:pPr>
        <w:pStyle w:val="BodyText31"/>
        <w:numPr>
          <w:ilvl w:val="0"/>
          <w:numId w:val="5"/>
        </w:numPr>
        <w:tabs>
          <w:tab w:val="clear" w:pos="2268"/>
          <w:tab w:val="clear" w:pos="4536"/>
        </w:tabs>
        <w:ind w:left="709" w:hanging="720"/>
        <w:jc w:val="left"/>
        <w:rPr>
          <w:rFonts w:asciiTheme="minorHAnsi" w:hAnsiTheme="minorHAnsi"/>
          <w:sz w:val="18"/>
          <w:szCs w:val="18"/>
        </w:rPr>
      </w:pPr>
      <w:r w:rsidRPr="00033F43">
        <w:rPr>
          <w:rFonts w:asciiTheme="minorHAnsi" w:hAnsiTheme="minorHAnsi"/>
          <w:sz w:val="18"/>
          <w:szCs w:val="18"/>
        </w:rPr>
        <w:t>Analýza nebezpečí a hodnocení rizik</w:t>
      </w:r>
    </w:p>
    <w:p w14:paraId="3ED6B2FB" w14:textId="77777777" w:rsidR="00E077BE" w:rsidRPr="00033F43" w:rsidRDefault="00E077BE" w:rsidP="00E077BE">
      <w:pPr>
        <w:pStyle w:val="BodyText31"/>
        <w:numPr>
          <w:ilvl w:val="0"/>
          <w:numId w:val="5"/>
        </w:numPr>
        <w:tabs>
          <w:tab w:val="clear" w:pos="2268"/>
          <w:tab w:val="clear" w:pos="4536"/>
        </w:tabs>
        <w:ind w:left="-142" w:firstLine="142"/>
        <w:jc w:val="left"/>
        <w:rPr>
          <w:rFonts w:asciiTheme="minorHAnsi" w:hAnsiTheme="minorHAnsi"/>
          <w:sz w:val="18"/>
          <w:szCs w:val="18"/>
        </w:rPr>
      </w:pPr>
      <w:r w:rsidRPr="00033F43">
        <w:rPr>
          <w:rFonts w:asciiTheme="minorHAnsi" w:hAnsiTheme="minorHAnsi"/>
          <w:sz w:val="18"/>
          <w:szCs w:val="18"/>
        </w:rPr>
        <w:t>Opatření pro postup v případě anonymního oznámení o NVS</w:t>
      </w:r>
    </w:p>
    <w:p w14:paraId="4D9D1D93" w14:textId="77777777" w:rsidR="00E077BE" w:rsidRPr="00033F43" w:rsidRDefault="00E077BE" w:rsidP="00470663">
      <w:pPr>
        <w:pStyle w:val="BodyText31"/>
        <w:numPr>
          <w:ilvl w:val="0"/>
          <w:numId w:val="5"/>
        </w:numPr>
        <w:tabs>
          <w:tab w:val="clear" w:pos="2268"/>
          <w:tab w:val="clear" w:pos="4536"/>
        </w:tabs>
        <w:ind w:left="-142" w:firstLine="142"/>
        <w:jc w:val="left"/>
        <w:rPr>
          <w:rFonts w:asciiTheme="minorHAnsi" w:hAnsiTheme="minorHAnsi"/>
          <w:sz w:val="18"/>
          <w:szCs w:val="18"/>
        </w:rPr>
      </w:pPr>
      <w:r w:rsidRPr="0067600D">
        <w:rPr>
          <w:rFonts w:asciiTheme="minorHAnsi" w:hAnsiTheme="minorHAnsi"/>
          <w:sz w:val="18"/>
          <w:szCs w:val="18"/>
        </w:rPr>
        <w:t>BOZP při práci ve výškách</w:t>
      </w:r>
    </w:p>
    <w:p w14:paraId="4B15E5D7" w14:textId="77777777" w:rsidR="006C7697" w:rsidRDefault="006C7697"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28B38CBE" w:rsidR="004429CF" w:rsidRDefault="004429CF" w:rsidP="00470663">
      <w:pPr>
        <w:widowControl w:val="0"/>
        <w:overflowPunct w:val="0"/>
        <w:autoSpaceDE w:val="0"/>
        <w:autoSpaceDN w:val="0"/>
        <w:adjustRightInd w:val="0"/>
        <w:spacing w:after="0" w:line="240" w:lineRule="auto"/>
        <w:jc w:val="both"/>
        <w:textAlignment w:val="baseline"/>
        <w:rPr>
          <w:rFonts w:eastAsia="Times New Roman" w:cs="Times New Roman"/>
          <w:sz w:val="12"/>
          <w:szCs w:val="12"/>
          <w:lang w:eastAsia="cs-CZ"/>
        </w:rPr>
      </w:pPr>
    </w:p>
    <w:p w14:paraId="0B2B16E4" w14:textId="77777777" w:rsidR="00036143" w:rsidRPr="00470663" w:rsidRDefault="00036143" w:rsidP="00470663">
      <w:pPr>
        <w:widowControl w:val="0"/>
        <w:overflowPunct w:val="0"/>
        <w:autoSpaceDE w:val="0"/>
        <w:autoSpaceDN w:val="0"/>
        <w:adjustRightInd w:val="0"/>
        <w:spacing w:after="0" w:line="240" w:lineRule="auto"/>
        <w:jc w:val="both"/>
        <w:textAlignment w:val="baseline"/>
        <w:rPr>
          <w:rFonts w:eastAsia="Times New Roman" w:cs="Times New Roman"/>
          <w:sz w:val="12"/>
          <w:szCs w:val="12"/>
          <w:lang w:eastAsia="cs-CZ"/>
        </w:rPr>
      </w:pPr>
    </w:p>
    <w:p w14:paraId="7E126795" w14:textId="77777777" w:rsidR="004429CF" w:rsidRDefault="004429CF"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3A374A3" w14:textId="68872355" w:rsidR="00613238" w:rsidRDefault="00613238" w:rsidP="00470663">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552E12ED" w:rsidR="00613238" w:rsidRDefault="00613238" w:rsidP="00F1527A">
      <w:pPr>
        <w:widowControl w:val="0"/>
        <w:spacing w:after="0" w:line="276" w:lineRule="auto"/>
        <w:jc w:val="both"/>
        <w:rPr>
          <w:rFonts w:asciiTheme="majorHAnsi" w:hAnsiTheme="majorHAnsi"/>
        </w:rPr>
      </w:pPr>
    </w:p>
    <w:p w14:paraId="6398F86B" w14:textId="07B3DFC5" w:rsidR="00036143" w:rsidRDefault="00036143" w:rsidP="00F1527A">
      <w:pPr>
        <w:widowControl w:val="0"/>
        <w:spacing w:after="0" w:line="276" w:lineRule="auto"/>
        <w:jc w:val="both"/>
        <w:rPr>
          <w:rFonts w:asciiTheme="majorHAnsi" w:hAnsiTheme="majorHAnsi"/>
        </w:rPr>
      </w:pPr>
    </w:p>
    <w:p w14:paraId="1A9C46C2" w14:textId="77777777" w:rsidR="00036143" w:rsidRDefault="00036143" w:rsidP="00F1527A">
      <w:pPr>
        <w:widowControl w:val="0"/>
        <w:spacing w:after="0" w:line="276" w:lineRule="auto"/>
        <w:jc w:val="both"/>
        <w:rPr>
          <w:rFonts w:asciiTheme="majorHAnsi" w:hAnsiTheme="majorHAnsi"/>
        </w:rPr>
      </w:pPr>
    </w:p>
    <w:p w14:paraId="75D2B619" w14:textId="77777777" w:rsidR="00613238" w:rsidRDefault="00613238" w:rsidP="00F1527A">
      <w:pPr>
        <w:widowControl w:val="0"/>
        <w:spacing w:after="0" w:line="276" w:lineRule="auto"/>
        <w:jc w:val="both"/>
        <w:rPr>
          <w:rFonts w:asciiTheme="majorHAnsi" w:hAnsiTheme="majorHAnsi"/>
        </w:rPr>
      </w:pPr>
    </w:p>
    <w:p w14:paraId="4761E1C5" w14:textId="77777777" w:rsidR="00613238" w:rsidRDefault="00613238" w:rsidP="00F1527A">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4CB95FE1" w14:textId="77777777" w:rsidR="00444B44" w:rsidRPr="00444B44" w:rsidRDefault="00444B44" w:rsidP="00444B44">
      <w:pPr>
        <w:widowControl w:val="0"/>
        <w:spacing w:after="0" w:line="276" w:lineRule="auto"/>
        <w:rPr>
          <w:rFonts w:asciiTheme="majorHAnsi" w:hAnsiTheme="majorHAnsi"/>
        </w:rPr>
      </w:pPr>
      <w:r w:rsidRPr="00444B44">
        <w:rPr>
          <w:rFonts w:asciiTheme="majorHAnsi" w:hAnsiTheme="majorHAnsi"/>
          <w:noProof/>
        </w:rPr>
        <w:t>Ing. Vladimír Filip</w:t>
      </w:r>
      <w:r w:rsidRPr="00444B44">
        <w:rPr>
          <w:rFonts w:asciiTheme="majorHAnsi" w:hAnsiTheme="majorHAnsi"/>
          <w:noProof/>
        </w:rPr>
        <w:tab/>
      </w:r>
      <w:r w:rsidR="00613238" w:rsidRPr="00444B44">
        <w:rPr>
          <w:rFonts w:asciiTheme="majorHAnsi" w:hAnsiTheme="majorHAnsi"/>
        </w:rPr>
        <w:tab/>
      </w:r>
      <w:r w:rsidR="00613238" w:rsidRPr="00444B44">
        <w:rPr>
          <w:rFonts w:asciiTheme="majorHAnsi" w:hAnsiTheme="majorHAnsi"/>
        </w:rPr>
        <w:tab/>
      </w:r>
      <w:r w:rsidR="00613238" w:rsidRPr="00444B44">
        <w:rPr>
          <w:rFonts w:asciiTheme="majorHAnsi" w:hAnsiTheme="majorHAnsi"/>
        </w:rPr>
        <w:tab/>
      </w:r>
      <w:r w:rsidR="00613238" w:rsidRPr="00444B44">
        <w:rPr>
          <w:rFonts w:asciiTheme="majorHAnsi" w:hAnsiTheme="majorHAnsi"/>
        </w:rPr>
        <w:tab/>
      </w:r>
      <w:r w:rsidR="00613238" w:rsidRPr="00444B44">
        <w:rPr>
          <w:rFonts w:asciiTheme="majorHAnsi" w:hAnsiTheme="majorHAnsi"/>
          <w:noProof/>
        </w:rPr>
        <w:t>[</w:t>
      </w:r>
      <w:r w:rsidR="00613238" w:rsidRPr="00444B44">
        <w:rPr>
          <w:rFonts w:asciiTheme="majorHAnsi" w:hAnsiTheme="majorHAnsi"/>
          <w:iCs/>
          <w:noProof/>
        </w:rPr>
        <w:t>DOPLNÍ ZHOTOVITEL</w:t>
      </w:r>
      <w:r w:rsidR="00613238" w:rsidRPr="00444B44">
        <w:rPr>
          <w:rFonts w:asciiTheme="majorHAnsi" w:hAnsiTheme="majorHAnsi"/>
          <w:noProof/>
        </w:rPr>
        <w:t>]</w:t>
      </w:r>
      <w:r w:rsidR="008945EC" w:rsidRPr="00444B44">
        <w:rPr>
          <w:rFonts w:asciiTheme="majorHAnsi" w:hAnsiTheme="majorHAnsi"/>
          <w:noProof/>
        </w:rPr>
        <w:br/>
      </w:r>
      <w:r w:rsidRPr="00444B44">
        <w:rPr>
          <w:rFonts w:asciiTheme="majorHAnsi" w:hAnsiTheme="majorHAnsi"/>
        </w:rPr>
        <w:t>ředitel Oblastního ředitelství Praha</w:t>
      </w:r>
    </w:p>
    <w:p w14:paraId="7EA01579" w14:textId="603F93C4" w:rsidR="00444B44" w:rsidRPr="00444B44" w:rsidRDefault="00444B44" w:rsidP="00444B44">
      <w:pPr>
        <w:widowControl w:val="0"/>
        <w:spacing w:after="0" w:line="276" w:lineRule="auto"/>
        <w:rPr>
          <w:rFonts w:asciiTheme="majorHAnsi" w:hAnsiTheme="majorHAnsi"/>
        </w:rPr>
      </w:pPr>
      <w:r w:rsidRPr="00444B44">
        <w:rPr>
          <w:rFonts w:asciiTheme="majorHAnsi" w:hAnsiTheme="majorHAnsi"/>
        </w:rPr>
        <w:t>Správa železnic, státní organizace</w:t>
      </w:r>
      <w:r w:rsidRPr="00444B44" w:rsidDel="00931370">
        <w:rPr>
          <w:rFonts w:asciiTheme="majorHAnsi" w:hAnsiTheme="majorHAnsi"/>
        </w:rPr>
        <w:t xml:space="preserve"> </w:t>
      </w:r>
    </w:p>
    <w:sectPr w:rsidR="00444B44" w:rsidRPr="00444B44" w:rsidSect="000645D6">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AA90F" w14:textId="77777777" w:rsidR="003B674B" w:rsidRDefault="003B674B" w:rsidP="00962258">
      <w:pPr>
        <w:spacing w:after="0" w:line="240" w:lineRule="auto"/>
      </w:pPr>
      <w:r>
        <w:separator/>
      </w:r>
    </w:p>
  </w:endnote>
  <w:endnote w:type="continuationSeparator" w:id="0">
    <w:p w14:paraId="08B197BE" w14:textId="77777777" w:rsidR="003B674B" w:rsidRDefault="003B67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8B9AC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52EA">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52EA">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48F559"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366FF2"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5FE8B47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52E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52EA">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67FF0"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4689E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233C0" w14:textId="77777777" w:rsidR="003B674B" w:rsidRDefault="003B674B" w:rsidP="00962258">
      <w:pPr>
        <w:spacing w:after="0" w:line="240" w:lineRule="auto"/>
      </w:pPr>
      <w:r>
        <w:separator/>
      </w:r>
    </w:p>
  </w:footnote>
  <w:footnote w:type="continuationSeparator" w:id="0">
    <w:p w14:paraId="4D0F1103" w14:textId="77777777" w:rsidR="003B674B" w:rsidRDefault="003B67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12B081E"/>
    <w:multiLevelType w:val="hybridMultilevel"/>
    <w:tmpl w:val="86ECA00C"/>
    <w:lvl w:ilvl="0" w:tplc="177A1C2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EE751E0"/>
    <w:multiLevelType w:val="hybridMultilevel"/>
    <w:tmpl w:val="8D3EE700"/>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8"/>
  </w:num>
  <w:num w:numId="4">
    <w:abstractNumId w:val="24"/>
  </w:num>
  <w:num w:numId="5">
    <w:abstractNumId w:val="11"/>
  </w:num>
  <w:num w:numId="6">
    <w:abstractNumId w:val="2"/>
  </w:num>
  <w:num w:numId="7">
    <w:abstractNumId w:val="13"/>
  </w:num>
  <w:num w:numId="8">
    <w:abstractNumId w:val="25"/>
  </w:num>
  <w:num w:numId="9">
    <w:abstractNumId w:val="14"/>
  </w:num>
  <w:num w:numId="10">
    <w:abstractNumId w:val="9"/>
  </w:num>
  <w:num w:numId="11">
    <w:abstractNumId w:val="4"/>
  </w:num>
  <w:num w:numId="12">
    <w:abstractNumId w:val="20"/>
  </w:num>
  <w:num w:numId="13">
    <w:abstractNumId w:val="23"/>
  </w:num>
  <w:num w:numId="14">
    <w:abstractNumId w:val="7"/>
  </w:num>
  <w:num w:numId="15">
    <w:abstractNumId w:val="26"/>
  </w:num>
  <w:num w:numId="16">
    <w:abstractNumId w:val="16"/>
  </w:num>
  <w:num w:numId="17">
    <w:abstractNumId w:val="10"/>
  </w:num>
  <w:num w:numId="18">
    <w:abstractNumId w:val="12"/>
  </w:num>
  <w:num w:numId="19">
    <w:abstractNumId w:val="18"/>
  </w:num>
  <w:num w:numId="20">
    <w:abstractNumId w:val="17"/>
  </w:num>
  <w:num w:numId="21">
    <w:abstractNumId w:val="10"/>
  </w:num>
  <w:num w:numId="22">
    <w:abstractNumId w:val="22"/>
  </w:num>
  <w:num w:numId="23">
    <w:abstractNumId w:val="10"/>
  </w:num>
  <w:num w:numId="24">
    <w:abstractNumId w:val="10"/>
  </w:num>
  <w:num w:numId="25">
    <w:abstractNumId w:val="10"/>
  </w:num>
  <w:num w:numId="26">
    <w:abstractNumId w:val="10"/>
  </w:num>
  <w:num w:numId="27">
    <w:abstractNumId w:val="0"/>
  </w:num>
  <w:num w:numId="28">
    <w:abstractNumId w:val="10"/>
  </w:num>
  <w:num w:numId="29">
    <w:abstractNumId w:val="10"/>
  </w:num>
  <w:num w:numId="30">
    <w:abstractNumId w:val="15"/>
  </w:num>
  <w:num w:numId="31">
    <w:abstractNumId w:val="5"/>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21"/>
  </w:num>
  <w:num w:numId="39">
    <w:abstractNumId w:val="1"/>
  </w:num>
  <w:num w:numId="40">
    <w:abstractNumId w:val="19"/>
  </w:num>
  <w:num w:numId="41">
    <w:abstractNumId w:val="10"/>
    <w:lvlOverride w:ilvl="0">
      <w:startOverride w:val="2"/>
    </w:lvlOverride>
    <w:lvlOverride w:ilvl="1">
      <w:startOverride w:val="4"/>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5FDA"/>
    <w:rsid w:val="000233F7"/>
    <w:rsid w:val="00036143"/>
    <w:rsid w:val="000645D6"/>
    <w:rsid w:val="00072C1E"/>
    <w:rsid w:val="00073A69"/>
    <w:rsid w:val="000814B9"/>
    <w:rsid w:val="000853E9"/>
    <w:rsid w:val="000952EA"/>
    <w:rsid w:val="000A13BC"/>
    <w:rsid w:val="000A3F85"/>
    <w:rsid w:val="000B324A"/>
    <w:rsid w:val="000C03CE"/>
    <w:rsid w:val="000D278B"/>
    <w:rsid w:val="000E23A7"/>
    <w:rsid w:val="000F3F61"/>
    <w:rsid w:val="000F512C"/>
    <w:rsid w:val="00105CB1"/>
    <w:rsid w:val="0010693F"/>
    <w:rsid w:val="00107E5E"/>
    <w:rsid w:val="00114472"/>
    <w:rsid w:val="001211B7"/>
    <w:rsid w:val="0013379C"/>
    <w:rsid w:val="001421FD"/>
    <w:rsid w:val="001550BC"/>
    <w:rsid w:val="001605B9"/>
    <w:rsid w:val="00170EC5"/>
    <w:rsid w:val="00170ED9"/>
    <w:rsid w:val="001747C1"/>
    <w:rsid w:val="00184743"/>
    <w:rsid w:val="00186C03"/>
    <w:rsid w:val="00193A76"/>
    <w:rsid w:val="00197130"/>
    <w:rsid w:val="001A6752"/>
    <w:rsid w:val="001C0FC2"/>
    <w:rsid w:val="001C298C"/>
    <w:rsid w:val="001C65F9"/>
    <w:rsid w:val="001D3AFC"/>
    <w:rsid w:val="001D68A6"/>
    <w:rsid w:val="00207DF5"/>
    <w:rsid w:val="00216193"/>
    <w:rsid w:val="002313EA"/>
    <w:rsid w:val="0025341D"/>
    <w:rsid w:val="00253E0C"/>
    <w:rsid w:val="00270BC8"/>
    <w:rsid w:val="00275474"/>
    <w:rsid w:val="00280E07"/>
    <w:rsid w:val="0029605F"/>
    <w:rsid w:val="002A0AAD"/>
    <w:rsid w:val="002B45EF"/>
    <w:rsid w:val="002C31BF"/>
    <w:rsid w:val="002D08B1"/>
    <w:rsid w:val="002D6523"/>
    <w:rsid w:val="002E0CD7"/>
    <w:rsid w:val="003013FA"/>
    <w:rsid w:val="00301967"/>
    <w:rsid w:val="00302578"/>
    <w:rsid w:val="003071BD"/>
    <w:rsid w:val="00315CEB"/>
    <w:rsid w:val="00341DCF"/>
    <w:rsid w:val="00357BC6"/>
    <w:rsid w:val="00380260"/>
    <w:rsid w:val="0038088E"/>
    <w:rsid w:val="00392F42"/>
    <w:rsid w:val="003956C6"/>
    <w:rsid w:val="003A0DCF"/>
    <w:rsid w:val="003A4D59"/>
    <w:rsid w:val="003A7E84"/>
    <w:rsid w:val="003B39EC"/>
    <w:rsid w:val="003B5DD6"/>
    <w:rsid w:val="003B5FC3"/>
    <w:rsid w:val="003B674B"/>
    <w:rsid w:val="003C010B"/>
    <w:rsid w:val="003D1F1E"/>
    <w:rsid w:val="003D703A"/>
    <w:rsid w:val="003F20D8"/>
    <w:rsid w:val="00401303"/>
    <w:rsid w:val="0041692D"/>
    <w:rsid w:val="0042314E"/>
    <w:rsid w:val="00431925"/>
    <w:rsid w:val="00441430"/>
    <w:rsid w:val="004429CF"/>
    <w:rsid w:val="00444B44"/>
    <w:rsid w:val="00444FC1"/>
    <w:rsid w:val="00450F07"/>
    <w:rsid w:val="0045363E"/>
    <w:rsid w:val="00453CD3"/>
    <w:rsid w:val="00457620"/>
    <w:rsid w:val="00460011"/>
    <w:rsid w:val="00460660"/>
    <w:rsid w:val="00461D32"/>
    <w:rsid w:val="00470663"/>
    <w:rsid w:val="0047161E"/>
    <w:rsid w:val="0047677B"/>
    <w:rsid w:val="00486107"/>
    <w:rsid w:val="00491827"/>
    <w:rsid w:val="00493B1B"/>
    <w:rsid w:val="004A1DA5"/>
    <w:rsid w:val="004A6222"/>
    <w:rsid w:val="004B2D5D"/>
    <w:rsid w:val="004B348C"/>
    <w:rsid w:val="004C4399"/>
    <w:rsid w:val="004C728D"/>
    <w:rsid w:val="004C787C"/>
    <w:rsid w:val="004E143C"/>
    <w:rsid w:val="004E1498"/>
    <w:rsid w:val="004E3A53"/>
    <w:rsid w:val="004F4B9B"/>
    <w:rsid w:val="00506E05"/>
    <w:rsid w:val="00511AB9"/>
    <w:rsid w:val="00522467"/>
    <w:rsid w:val="00523EA7"/>
    <w:rsid w:val="00527421"/>
    <w:rsid w:val="00532E39"/>
    <w:rsid w:val="00537B7A"/>
    <w:rsid w:val="00537B95"/>
    <w:rsid w:val="0055288E"/>
    <w:rsid w:val="00553375"/>
    <w:rsid w:val="0057103B"/>
    <w:rsid w:val="005736B7"/>
    <w:rsid w:val="005740C3"/>
    <w:rsid w:val="00575E5A"/>
    <w:rsid w:val="00592757"/>
    <w:rsid w:val="00597E84"/>
    <w:rsid w:val="005B76DD"/>
    <w:rsid w:val="005C440D"/>
    <w:rsid w:val="005D5624"/>
    <w:rsid w:val="005F1404"/>
    <w:rsid w:val="0060520C"/>
    <w:rsid w:val="0061068E"/>
    <w:rsid w:val="00613238"/>
    <w:rsid w:val="00647F52"/>
    <w:rsid w:val="006566F7"/>
    <w:rsid w:val="00660AD3"/>
    <w:rsid w:val="00677B7F"/>
    <w:rsid w:val="006A5570"/>
    <w:rsid w:val="006A689C"/>
    <w:rsid w:val="006B3D79"/>
    <w:rsid w:val="006C7697"/>
    <w:rsid w:val="006D7AFE"/>
    <w:rsid w:val="006E0578"/>
    <w:rsid w:val="006E314D"/>
    <w:rsid w:val="006E6E61"/>
    <w:rsid w:val="006F0446"/>
    <w:rsid w:val="007061F8"/>
    <w:rsid w:val="00710723"/>
    <w:rsid w:val="00723ED1"/>
    <w:rsid w:val="0073792E"/>
    <w:rsid w:val="00743525"/>
    <w:rsid w:val="007510DD"/>
    <w:rsid w:val="00753112"/>
    <w:rsid w:val="00753EBA"/>
    <w:rsid w:val="00756BBA"/>
    <w:rsid w:val="0076286B"/>
    <w:rsid w:val="00766846"/>
    <w:rsid w:val="00776504"/>
    <w:rsid w:val="0077673A"/>
    <w:rsid w:val="007846E1"/>
    <w:rsid w:val="0078519E"/>
    <w:rsid w:val="007A0C04"/>
    <w:rsid w:val="007B3A31"/>
    <w:rsid w:val="007B570C"/>
    <w:rsid w:val="007C01CD"/>
    <w:rsid w:val="007C589B"/>
    <w:rsid w:val="007C67CE"/>
    <w:rsid w:val="007E15FA"/>
    <w:rsid w:val="007E4A6E"/>
    <w:rsid w:val="007F56A7"/>
    <w:rsid w:val="00807DD0"/>
    <w:rsid w:val="00810E9B"/>
    <w:rsid w:val="00816B59"/>
    <w:rsid w:val="00826752"/>
    <w:rsid w:val="00845DC2"/>
    <w:rsid w:val="0084768D"/>
    <w:rsid w:val="0086114C"/>
    <w:rsid w:val="008659F3"/>
    <w:rsid w:val="00886D4B"/>
    <w:rsid w:val="008945EC"/>
    <w:rsid w:val="00895406"/>
    <w:rsid w:val="008A3568"/>
    <w:rsid w:val="008B6021"/>
    <w:rsid w:val="008D03B9"/>
    <w:rsid w:val="008D6F4A"/>
    <w:rsid w:val="008E1E86"/>
    <w:rsid w:val="008E2524"/>
    <w:rsid w:val="008F18D6"/>
    <w:rsid w:val="008F7DFE"/>
    <w:rsid w:val="009032FF"/>
    <w:rsid w:val="00904780"/>
    <w:rsid w:val="00922385"/>
    <w:rsid w:val="009223DF"/>
    <w:rsid w:val="00923FE6"/>
    <w:rsid w:val="00936091"/>
    <w:rsid w:val="00940693"/>
    <w:rsid w:val="00940D8A"/>
    <w:rsid w:val="00945AD6"/>
    <w:rsid w:val="00950C1F"/>
    <w:rsid w:val="00962258"/>
    <w:rsid w:val="00967269"/>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1A92"/>
    <w:rsid w:val="00A021CC"/>
    <w:rsid w:val="00A02EE7"/>
    <w:rsid w:val="00A157FE"/>
    <w:rsid w:val="00A320BE"/>
    <w:rsid w:val="00A422F3"/>
    <w:rsid w:val="00A53522"/>
    <w:rsid w:val="00A605AE"/>
    <w:rsid w:val="00A6177B"/>
    <w:rsid w:val="00A66136"/>
    <w:rsid w:val="00A76699"/>
    <w:rsid w:val="00A94B3E"/>
    <w:rsid w:val="00AA4CBB"/>
    <w:rsid w:val="00AA65FA"/>
    <w:rsid w:val="00AA7351"/>
    <w:rsid w:val="00AB3FAE"/>
    <w:rsid w:val="00AB6759"/>
    <w:rsid w:val="00AD056F"/>
    <w:rsid w:val="00AD51C7"/>
    <w:rsid w:val="00AD6731"/>
    <w:rsid w:val="00AD7371"/>
    <w:rsid w:val="00AF11FA"/>
    <w:rsid w:val="00B15D0D"/>
    <w:rsid w:val="00B17679"/>
    <w:rsid w:val="00B27209"/>
    <w:rsid w:val="00B3452A"/>
    <w:rsid w:val="00B365D2"/>
    <w:rsid w:val="00B545C1"/>
    <w:rsid w:val="00B748DD"/>
    <w:rsid w:val="00B75EE1"/>
    <w:rsid w:val="00B77481"/>
    <w:rsid w:val="00B8518B"/>
    <w:rsid w:val="00B96405"/>
    <w:rsid w:val="00BB184D"/>
    <w:rsid w:val="00BC3B85"/>
    <w:rsid w:val="00BC4DC9"/>
    <w:rsid w:val="00BD7E91"/>
    <w:rsid w:val="00BF2DD6"/>
    <w:rsid w:val="00C02D0A"/>
    <w:rsid w:val="00C03A6E"/>
    <w:rsid w:val="00C22949"/>
    <w:rsid w:val="00C24D12"/>
    <w:rsid w:val="00C33A4C"/>
    <w:rsid w:val="00C35AE5"/>
    <w:rsid w:val="00C42A1F"/>
    <w:rsid w:val="00C44F6A"/>
    <w:rsid w:val="00C47AE3"/>
    <w:rsid w:val="00C70EC1"/>
    <w:rsid w:val="00CB53B1"/>
    <w:rsid w:val="00CC6991"/>
    <w:rsid w:val="00CD1FC4"/>
    <w:rsid w:val="00D21061"/>
    <w:rsid w:val="00D2445B"/>
    <w:rsid w:val="00D40E5B"/>
    <w:rsid w:val="00D4108E"/>
    <w:rsid w:val="00D57D60"/>
    <w:rsid w:val="00D6163D"/>
    <w:rsid w:val="00D657AD"/>
    <w:rsid w:val="00D76037"/>
    <w:rsid w:val="00D831A3"/>
    <w:rsid w:val="00D85C5B"/>
    <w:rsid w:val="00D9782E"/>
    <w:rsid w:val="00DB210B"/>
    <w:rsid w:val="00DC60C3"/>
    <w:rsid w:val="00DC75F3"/>
    <w:rsid w:val="00DD46F3"/>
    <w:rsid w:val="00DE56F2"/>
    <w:rsid w:val="00DF116D"/>
    <w:rsid w:val="00E00652"/>
    <w:rsid w:val="00E017C5"/>
    <w:rsid w:val="00E077BE"/>
    <w:rsid w:val="00E13382"/>
    <w:rsid w:val="00E152F9"/>
    <w:rsid w:val="00E21248"/>
    <w:rsid w:val="00E55F3F"/>
    <w:rsid w:val="00EB104F"/>
    <w:rsid w:val="00EB44D5"/>
    <w:rsid w:val="00EC44FE"/>
    <w:rsid w:val="00ED14BD"/>
    <w:rsid w:val="00EE5EBA"/>
    <w:rsid w:val="00EF1804"/>
    <w:rsid w:val="00F0533E"/>
    <w:rsid w:val="00F1048D"/>
    <w:rsid w:val="00F12C80"/>
    <w:rsid w:val="00F12DEC"/>
    <w:rsid w:val="00F1527A"/>
    <w:rsid w:val="00F1715C"/>
    <w:rsid w:val="00F173A5"/>
    <w:rsid w:val="00F310F8"/>
    <w:rsid w:val="00F35939"/>
    <w:rsid w:val="00F45607"/>
    <w:rsid w:val="00F60F94"/>
    <w:rsid w:val="00F659EB"/>
    <w:rsid w:val="00F867BB"/>
    <w:rsid w:val="00F86BA6"/>
    <w:rsid w:val="00F969C4"/>
    <w:rsid w:val="00FA32F8"/>
    <w:rsid w:val="00FB1205"/>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BodyText31">
    <w:name w:val="Body Text 31"/>
    <w:basedOn w:val="Normln"/>
    <w:rsid w:val="00E077B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41AE40F7-BA21-4548-9A89-EFCF5CD6F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569D46-F57F-4EE8-ABC1-67FF86F8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2042</Words>
  <Characters>12054</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58</cp:revision>
  <cp:lastPrinted>2023-07-18T09:12:00Z</cp:lastPrinted>
  <dcterms:created xsi:type="dcterms:W3CDTF">2023-07-18T07:58:00Z</dcterms:created>
  <dcterms:modified xsi:type="dcterms:W3CDTF">2023-07-24T05:49:00Z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