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90312" w:rsidP="00B42F40">
      <w:pPr>
        <w:pStyle w:val="Titul2"/>
      </w:pPr>
      <w:r>
        <w:t>Název zakázky:</w:t>
      </w:r>
    </w:p>
    <w:p w:rsidR="00F90312" w:rsidRDefault="00F90312" w:rsidP="00F90312">
      <w:pPr>
        <w:pStyle w:val="Titul2"/>
        <w:tabs>
          <w:tab w:val="clear" w:pos="6796"/>
        </w:tabs>
        <w:jc w:val="both"/>
      </w:pPr>
      <w:r>
        <w:t>1.</w:t>
      </w:r>
      <w:r>
        <w:tab/>
        <w:t>„Zajištění skalních masivů na trati Miroslav – Střelice, BOZP“</w:t>
      </w:r>
    </w:p>
    <w:p w:rsidR="00F90312" w:rsidRDefault="00F90312" w:rsidP="00F90312">
      <w:pPr>
        <w:pStyle w:val="Titul2"/>
        <w:tabs>
          <w:tab w:val="clear" w:pos="6796"/>
        </w:tabs>
        <w:jc w:val="both"/>
      </w:pPr>
      <w:r>
        <w:t>2.</w:t>
      </w:r>
      <w:r>
        <w:tab/>
        <w:t>„Zajištění skalních masivů na trati Moravské Bránice, Oslavany, BOZP“</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F90312"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t>+420 725 915 943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F90312" w:rsidP="00F91101">
      <w:pPr>
        <w:spacing w:after="120"/>
        <w:ind w:left="567"/>
        <w:jc w:val="both"/>
        <w:rPr>
          <w:rFonts w:ascii="Verdana" w:hAnsi="Verdana" w:cs="Calibri"/>
        </w:rPr>
      </w:pPr>
      <w:r>
        <w:t>Ing. Jiří Heuer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+420 722 958 373</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F422D3" w:rsidP="00B42F40">
      <w:pPr>
        <w:pStyle w:val="Textbezodsazen"/>
      </w:pPr>
      <w:r>
        <w:t xml:space="preserve">ISPROFOND: </w:t>
      </w:r>
      <w:r w:rsidR="006F0AA3">
        <w:t>3273214993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lastRenderedPageBreak/>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bookmarkStart w:id="0" w:name="_GoBack"/>
      <w:r w:rsidR="00BA564E">
        <w:t xml:space="preserve"> pro soubor</w:t>
      </w:r>
      <w:bookmarkEnd w:id="0"/>
      <w:r w:rsidR="00FE1807">
        <w:t xml:space="preserve"> staveb</w:t>
      </w:r>
      <w:r w:rsidR="00F91101" w:rsidRPr="005C7EED">
        <w:t xml:space="preserve"> </w:t>
      </w:r>
      <w:r w:rsidR="00FE1807" w:rsidRPr="00744376">
        <w:rPr>
          <w:rFonts w:eastAsia="Times New Roman" w:cs="Times New Roman"/>
          <w:b/>
          <w:lang w:eastAsia="cs-CZ"/>
        </w:rPr>
        <w:t>1.</w:t>
      </w:r>
      <w:r w:rsidR="00FE1807">
        <w:rPr>
          <w:rFonts w:eastAsia="Times New Roman" w:cs="Times New Roman"/>
          <w:lang w:eastAsia="cs-CZ"/>
        </w:rPr>
        <w:t xml:space="preserve"> </w:t>
      </w:r>
      <w:r w:rsidR="00FE1807" w:rsidRPr="001A6F12">
        <w:rPr>
          <w:rFonts w:eastAsia="Times New Roman" w:cs="Times New Roman"/>
          <w:lang w:eastAsia="cs-CZ"/>
        </w:rPr>
        <w:t>„</w:t>
      </w:r>
      <w:r w:rsidR="00FE1807" w:rsidRPr="00EE4A82">
        <w:rPr>
          <w:rFonts w:eastAsia="Times New Roman" w:cs="Times New Roman"/>
          <w:b/>
          <w:lang w:eastAsia="cs-CZ"/>
        </w:rPr>
        <w:t xml:space="preserve">Zajištění skalních masivů na trati Miroslav </w:t>
      </w:r>
      <w:r w:rsidR="00FE1807">
        <w:rPr>
          <w:rFonts w:eastAsia="Times New Roman" w:cs="Times New Roman"/>
          <w:b/>
          <w:lang w:eastAsia="cs-CZ"/>
        </w:rPr>
        <w:t>–</w:t>
      </w:r>
      <w:r w:rsidR="00FE1807" w:rsidRPr="00EE4A82">
        <w:rPr>
          <w:rFonts w:eastAsia="Times New Roman" w:cs="Times New Roman"/>
          <w:b/>
          <w:lang w:eastAsia="cs-CZ"/>
        </w:rPr>
        <w:t xml:space="preserve"> Střelice</w:t>
      </w:r>
      <w:r w:rsidR="00FE1807">
        <w:rPr>
          <w:rFonts w:eastAsia="Times New Roman" w:cs="Times New Roman"/>
          <w:b/>
          <w:lang w:eastAsia="cs-CZ"/>
        </w:rPr>
        <w:t>, BOZP</w:t>
      </w:r>
      <w:r w:rsidR="00FE1807" w:rsidRPr="001A6F12">
        <w:rPr>
          <w:rFonts w:eastAsia="Times New Roman" w:cs="Times New Roman"/>
          <w:lang w:eastAsia="cs-CZ"/>
        </w:rPr>
        <w:t>“</w:t>
      </w:r>
      <w:r w:rsidR="00FE1807">
        <w:rPr>
          <w:rFonts w:eastAsia="Times New Roman" w:cs="Times New Roman"/>
          <w:lang w:eastAsia="cs-CZ"/>
        </w:rPr>
        <w:t xml:space="preserve">; </w:t>
      </w:r>
      <w:r w:rsidR="00FE1807" w:rsidRPr="00744376">
        <w:rPr>
          <w:rFonts w:eastAsia="Times New Roman" w:cs="Times New Roman"/>
          <w:b/>
          <w:lang w:eastAsia="cs-CZ"/>
        </w:rPr>
        <w:t>2. „Zajištění skalních masivů na trati Moravské Bránice – Oslavany</w:t>
      </w:r>
      <w:r w:rsidR="00FE1807">
        <w:rPr>
          <w:rFonts w:eastAsia="Times New Roman" w:cs="Times New Roman"/>
          <w:b/>
          <w:lang w:eastAsia="cs-CZ"/>
        </w:rPr>
        <w:t>, BOZP</w:t>
      </w:r>
      <w:r w:rsidR="00FE1807" w:rsidRPr="00744376">
        <w:rPr>
          <w:rFonts w:eastAsia="Times New Roman" w:cs="Times New Roman"/>
          <w:b/>
          <w:lang w:eastAsia="cs-CZ"/>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E27D99" w:rsidRDefault="00F91101" w:rsidP="00E27D99">
      <w:pPr>
        <w:tabs>
          <w:tab w:val="right" w:leader="dot" w:pos="7371"/>
        </w:tabs>
        <w:spacing w:before="120" w:after="120"/>
        <w:ind w:left="737"/>
        <w:rPr>
          <w:rFonts w:eastAsia="Times New Roman" w:cs="Calibri"/>
          <w:i/>
          <w:color w:val="FF0000"/>
          <w:u w:val="single"/>
          <w:lang w:eastAsia="cs-CZ"/>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E27D99" w:rsidRPr="00E27D99" w:rsidRDefault="00E27D99" w:rsidP="00E27D99">
      <w:pPr>
        <w:spacing w:after="120"/>
        <w:ind w:left="709"/>
        <w:jc w:val="both"/>
        <w:rPr>
          <w:rFonts w:ascii="Verdana" w:eastAsia="Verdana" w:hAnsi="Verdana" w:cs="Times New Roman"/>
        </w:rPr>
      </w:pPr>
      <w:r w:rsidRPr="00E27D99">
        <w:rPr>
          <w:rFonts w:ascii="Verdana" w:eastAsia="Verdana" w:hAnsi="Verdana" w:cs="Times New Roman"/>
        </w:rPr>
        <w:t>z toho:</w:t>
      </w:r>
    </w:p>
    <w:p w:rsidR="00E27D99" w:rsidRPr="00E27D99" w:rsidRDefault="00E27D99" w:rsidP="00E27D99">
      <w:pPr>
        <w:pStyle w:val="Odstavecseseznamem"/>
        <w:numPr>
          <w:ilvl w:val="0"/>
          <w:numId w:val="31"/>
        </w:numPr>
        <w:spacing w:after="120"/>
        <w:jc w:val="both"/>
        <w:rPr>
          <w:rFonts w:ascii="Verdana" w:eastAsia="Verdana" w:hAnsi="Verdana" w:cs="Times New Roman"/>
        </w:rPr>
      </w:pPr>
      <w:r w:rsidRPr="00E27D99">
        <w:rPr>
          <w:rFonts w:ascii="Verdana" w:eastAsia="Verdana" w:hAnsi="Verdana" w:cs="Times New Roman"/>
        </w:rPr>
        <w:t xml:space="preserve">Cena pro stavbu </w:t>
      </w:r>
      <w:r w:rsidRPr="00E27D99">
        <w:rPr>
          <w:rFonts w:ascii="Verdana" w:eastAsia="Verdana" w:hAnsi="Verdana" w:cs="Times New Roman"/>
          <w:b/>
        </w:rPr>
        <w:t>„Zajištění skalních masivů na trati Miroslav - Střelice“</w:t>
      </w:r>
    </w:p>
    <w:p w:rsidR="00E27D99" w:rsidRPr="00BF7940" w:rsidRDefault="00E27D99" w:rsidP="00E27D99">
      <w:pPr>
        <w:tabs>
          <w:tab w:val="right" w:leader="dot" w:pos="8647"/>
        </w:tabs>
        <w:spacing w:before="120" w:after="120"/>
        <w:ind w:left="737"/>
        <w:rPr>
          <w:rFonts w:eastAsia="Verdana" w:cs="Times New Roman"/>
          <w:highlight w:val="green"/>
          <w:lang w:val="x-none"/>
        </w:rPr>
      </w:pPr>
      <w:r w:rsidRPr="00E27D99">
        <w:rPr>
          <w:rFonts w:eastAsia="Verdana" w:cs="Times New Roman"/>
        </w:rPr>
        <w:t>Cena bez DPH</w:t>
      </w:r>
      <w:r w:rsidRPr="00E27D99">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E27D99">
        <w:rPr>
          <w:rFonts w:eastAsia="Verdana" w:cs="Times New Roman"/>
        </w:rPr>
        <w:t>Kč</w:t>
      </w:r>
    </w:p>
    <w:p w:rsidR="00E27D99" w:rsidRPr="00E27D99" w:rsidRDefault="00E27D99" w:rsidP="00E27D99">
      <w:pPr>
        <w:pStyle w:val="Odstavecseseznamem"/>
        <w:numPr>
          <w:ilvl w:val="0"/>
          <w:numId w:val="31"/>
        </w:numPr>
        <w:spacing w:after="120"/>
        <w:jc w:val="both"/>
        <w:rPr>
          <w:rFonts w:ascii="Verdana" w:eastAsia="Verdana" w:hAnsi="Verdana" w:cs="Times New Roman"/>
        </w:rPr>
      </w:pPr>
      <w:r w:rsidRPr="00E27D99">
        <w:rPr>
          <w:rFonts w:ascii="Verdana" w:eastAsia="Verdana" w:hAnsi="Verdana" w:cs="Times New Roman"/>
        </w:rPr>
        <w:t xml:space="preserve">Cena pro stavbu </w:t>
      </w:r>
      <w:r w:rsidRPr="00E27D99">
        <w:rPr>
          <w:rFonts w:ascii="Verdana" w:eastAsia="Verdana" w:hAnsi="Verdana" w:cs="Times New Roman"/>
          <w:b/>
        </w:rPr>
        <w:t>„Zajištění skalních masivů na trati Moravské Bránice - Oslavany“</w:t>
      </w:r>
    </w:p>
    <w:p w:rsidR="00E27D99" w:rsidRPr="00BF7940" w:rsidRDefault="00E27D99" w:rsidP="00E27D99">
      <w:pPr>
        <w:tabs>
          <w:tab w:val="right" w:leader="dot" w:pos="8647"/>
        </w:tabs>
        <w:spacing w:before="120" w:after="120"/>
        <w:ind w:left="737"/>
        <w:rPr>
          <w:rFonts w:eastAsia="Verdana" w:cs="Times New Roman"/>
          <w:highlight w:val="green"/>
        </w:rPr>
      </w:pPr>
      <w:r w:rsidRPr="00E27D99">
        <w:rPr>
          <w:rFonts w:eastAsia="Verdana" w:cs="Times New Roman"/>
        </w:rPr>
        <w:lastRenderedPageBreak/>
        <w:t>Cena bez DPH</w:t>
      </w:r>
      <w:r w:rsidRPr="00E27D99">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E27D99">
        <w:rPr>
          <w:rFonts w:eastAsia="Verdana" w:cs="Times New Roman"/>
        </w:rPr>
        <w:t>Kč</w:t>
      </w:r>
    </w:p>
    <w:p w:rsidR="00E27D99" w:rsidRDefault="00E27D99" w:rsidP="00E27D99">
      <w:pPr>
        <w:tabs>
          <w:tab w:val="right" w:leader="dot" w:pos="7371"/>
        </w:tabs>
        <w:spacing w:before="120" w:after="120"/>
        <w:ind w:left="737"/>
        <w:jc w:val="both"/>
        <w:rPr>
          <w:rFonts w:eastAsia="Times New Roman" w:cs="Calibri"/>
          <w:lang w:eastAsia="cs-CZ"/>
        </w:rPr>
      </w:pPr>
      <w:r w:rsidRPr="00E27D99">
        <w:rPr>
          <w:rFonts w:eastAsia="Times New Roman" w:cs="Calibri"/>
          <w:u w:val="single"/>
          <w:lang w:eastAsia="cs-CZ"/>
        </w:rPr>
        <w:t>Fakturace pro jednotlivé dílčí stavby souboru staveb proběhne samostatně</w:t>
      </w:r>
      <w:r w:rsidRPr="00E27D99">
        <w:rPr>
          <w:rFonts w:eastAsia="Times New Roman" w:cs="Calibri"/>
          <w:lang w:eastAsia="cs-CZ"/>
        </w:rPr>
        <w:t>.</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lastRenderedPageBreak/>
        <w:t>v listinné podobě na adresu Správa železnic, státní organizace, Centrální finanční účtárna Čechy, Náměstí Jana Pernera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410976" w:rsidRPr="00410976">
        <w:rPr>
          <w:rFonts w:cs="Arial"/>
          <w:b/>
        </w:rPr>
        <w:t xml:space="preserve">3 </w:t>
      </w:r>
      <w:r w:rsidRPr="00410976">
        <w:rPr>
          <w:b/>
        </w:rPr>
        <w:t>měsíců</w:t>
      </w:r>
      <w:r w:rsidRPr="00410976">
        <w:t xml:space="preserve"> ode</w:t>
      </w:r>
      <w:r w:rsidRPr="005C7EED">
        <w:t xml:space="preserve"> dne zahájení stavebních pr</w:t>
      </w:r>
      <w:r w:rsidR="00E27D99">
        <w:t>ací na předmětných stavbách</w:t>
      </w:r>
      <w:r w:rsidRPr="005C7EED">
        <w:t>,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w:t>
      </w:r>
      <w:r w:rsidRPr="005C7EED">
        <w:lastRenderedPageBreak/>
        <w:t xml:space="preserve">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lastRenderedPageBreak/>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rsidRPr="005C7EED">
        <w:rPr>
          <w:rFonts w:ascii="Verdana" w:hAnsi="Verdana"/>
          <w:sz w:val="18"/>
          <w:szCs w:val="18"/>
        </w:rPr>
        <w:lastRenderedPageBreak/>
        <w:t>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F90312">
      <w:headerReference w:type="default" r:id="rId12"/>
      <w:footerReference w:type="default" r:id="rId13"/>
      <w:headerReference w:type="first" r:id="rId14"/>
      <w:footerReference w:type="first" r:id="rId15"/>
      <w:pgSz w:w="11906" w:h="16838" w:code="9"/>
      <w:pgMar w:top="1702" w:right="1134" w:bottom="1985" w:left="1418" w:header="595" w:footer="741"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60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6036">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1DC" w:rsidRDefault="00CD11DC">
    <w:pPr>
      <w:pStyle w:val="Zpat"/>
    </w:pPr>
    <w:r w:rsidRPr="004C7962">
      <w:rPr>
        <w:noProof/>
        <w:lang w:eastAsia="cs-CZ"/>
      </w:rPr>
      <w:drawing>
        <wp:inline distT="0" distB="0" distL="0" distR="0" wp14:anchorId="6391E6A3" wp14:editId="6F49E5FC">
          <wp:extent cx="1025629" cy="590550"/>
          <wp:effectExtent l="0" t="0" r="3175" b="0"/>
          <wp:docPr id="29" name="Obrázek 29"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68125" cy="61501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CD11DC">
    <w:pPr>
      <w:pStyle w:val="Zhlav"/>
    </w:pPr>
    <w:r w:rsidRPr="00AE589A">
      <w:rPr>
        <w:noProof/>
        <w:lang w:eastAsia="cs-CZ"/>
      </w:rPr>
      <w:drawing>
        <wp:anchor distT="0" distB="0" distL="114300" distR="114300" simplePos="0" relativeHeight="251659264" behindDoc="0" locked="1" layoutInCell="1" allowOverlap="1" wp14:anchorId="3723B76E" wp14:editId="7040D43E">
          <wp:simplePos x="0" y="0"/>
          <wp:positionH relativeFrom="margin">
            <wp:align>left</wp:align>
          </wp:positionH>
          <wp:positionV relativeFrom="page">
            <wp:posOffset>381000</wp:posOffset>
          </wp:positionV>
          <wp:extent cx="1514475" cy="561340"/>
          <wp:effectExtent l="0" t="0" r="9525"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4475" cy="5613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D6036"/>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0976"/>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0AA3"/>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A564E"/>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1DC"/>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27D99"/>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0312"/>
    <w:rsid w:val="00F91101"/>
    <w:rsid w:val="00F95FBD"/>
    <w:rsid w:val="00FB6342"/>
    <w:rsid w:val="00FC6389"/>
    <w:rsid w:val="00FC6B68"/>
    <w:rsid w:val="00FD08AA"/>
    <w:rsid w:val="00FE180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B5ED1D23-DF68-4BB7-B85F-8B1485D67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15</Pages>
  <Words>6654</Words>
  <Characters>39264</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2019-03-12T14:16:00Z</cp:lastPrinted>
  <dcterms:created xsi:type="dcterms:W3CDTF">2023-07-17T10:57:00Z</dcterms:created>
  <dcterms:modified xsi:type="dcterms:W3CDTF">2023-07-17T10:57:00Z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