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E00622" w:rsidRPr="00A851C1">
        <w:rPr>
          <w:rFonts w:eastAsia="Times New Roman" w:cs="Arial"/>
          <w:lang w:eastAsia="cs-CZ"/>
        </w:rPr>
        <w:t>Výstavba PZS v km 76,881 (P7584) trati Nezamyslice – Olomouc,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E00622" w:rsidP="00F91101">
      <w:pPr>
        <w:spacing w:after="120"/>
        <w:ind w:left="567"/>
        <w:jc w:val="both"/>
        <w:rPr>
          <w:rFonts w:ascii="Verdana" w:hAnsi="Verdana" w:cs="Calibri"/>
        </w:rPr>
      </w:pPr>
      <w:r>
        <w:t>Mgr. Jan Foldyna</w:t>
      </w:r>
      <w:r w:rsidR="00F91101" w:rsidRPr="005C7EED">
        <w:rPr>
          <w:rFonts w:ascii="Verdana" w:hAnsi="Verdana" w:cs="Calibri"/>
        </w:rPr>
        <w:t xml:space="preserve">, tel.: </w:t>
      </w:r>
      <w:r>
        <w:t>+420 601 160 009</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E00622" w:rsidP="00F91101">
      <w:pPr>
        <w:spacing w:after="120"/>
        <w:ind w:left="567"/>
        <w:jc w:val="both"/>
        <w:rPr>
          <w:rFonts w:ascii="Verdana" w:hAnsi="Verdana" w:cs="Calibri"/>
        </w:rPr>
      </w:pPr>
      <w:r>
        <w:t>Ing. Otakar Srovnal</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+420 724 590 159</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F422D3" w:rsidRDefault="00F422D3" w:rsidP="00B42F40">
      <w:pPr>
        <w:pStyle w:val="Textbezodsazen"/>
      </w:pPr>
      <w:r>
        <w:t xml:space="preserve">ISPROFOND: </w:t>
      </w:r>
      <w:r w:rsidR="00BA2D9F" w:rsidRPr="00131DBB">
        <w:rPr>
          <w:highlight w:val="green"/>
        </w:rPr>
        <w:fldChar w:fldCharType="begin"/>
      </w:r>
      <w:r w:rsidR="00BA2D9F" w:rsidRPr="00131DBB">
        <w:rPr>
          <w:highlight w:val="green"/>
        </w:rPr>
        <w:instrText xml:space="preserve"> MACROBUTTON  VložitŠirokouMezeru "[VLOŽÍ OBJEDNATEL]" </w:instrText>
      </w:r>
      <w:r w:rsidR="00BA2D9F" w:rsidRPr="00131DBB">
        <w:rPr>
          <w:highlight w:val="green"/>
        </w:rPr>
        <w:fldChar w:fldCharType="end"/>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lastRenderedPageBreak/>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E00622">
        <w:rPr>
          <w:b/>
        </w:rPr>
        <w:t>„</w:t>
      </w:r>
      <w:r w:rsidR="00E00622" w:rsidRPr="00E00622">
        <w:rPr>
          <w:rFonts w:ascii="Verdana" w:hAnsi="Verdana" w:cs="Calibri"/>
          <w:b/>
        </w:rPr>
        <w:t xml:space="preserve">Výstavba PZS v km 76,881 (P7584) trati Nezamyslice </w:t>
      </w:r>
      <w:r w:rsidR="003A68A9">
        <w:rPr>
          <w:rFonts w:ascii="Verdana" w:hAnsi="Verdana" w:cs="Calibri"/>
          <w:b/>
        </w:rPr>
        <w:t>–</w:t>
      </w:r>
      <w:r w:rsidR="00E00622" w:rsidRPr="00E00622">
        <w:rPr>
          <w:rFonts w:ascii="Verdana" w:hAnsi="Verdana" w:cs="Calibri"/>
          <w:b/>
        </w:rPr>
        <w:t xml:space="preserve"> Olomouc</w:t>
      </w:r>
      <w:r w:rsidR="003A68A9">
        <w:rPr>
          <w:rFonts w:ascii="Verdana" w:hAnsi="Verdana" w:cs="Calibri"/>
          <w:b/>
        </w:rPr>
        <w:t>, BOZP</w:t>
      </w:r>
      <w:r w:rsidR="00F91101" w:rsidRPr="00E00622">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koordinovat spolupráci zhotovitelů a poddodavatelů nebo osob jimi pověřených při přijímání opatření k zajištění BOZP se zřetelem na povahu stavby a na všeobecné </w:t>
      </w:r>
      <w:r w:rsidRPr="005C7EED">
        <w:rPr>
          <w:rFonts w:ascii="Verdana" w:hAnsi="Verdana" w:cs="Calibri"/>
          <w:color w:val="000000"/>
        </w:rPr>
        <w:lastRenderedPageBreak/>
        <w:t>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lastRenderedPageBreak/>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w:t>
      </w:r>
      <w:r w:rsidRPr="005C7EED">
        <w:lastRenderedPageBreak/>
        <w:t xml:space="preserve">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lastRenderedPageBreak/>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785AD1">
        <w:t xml:space="preserve">do </w:t>
      </w:r>
      <w:r w:rsidR="00785AD1" w:rsidRPr="00785AD1">
        <w:rPr>
          <w:rFonts w:cs="Arial"/>
          <w:b/>
        </w:rPr>
        <w:t xml:space="preserve">13 </w:t>
      </w:r>
      <w:r w:rsidRPr="00785AD1">
        <w:rPr>
          <w:b/>
        </w:rPr>
        <w:t>měsíců</w:t>
      </w:r>
      <w:r w:rsidRPr="00785AD1">
        <w:t xml:space="preserve">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w:t>
      </w:r>
      <w:r w:rsidR="00F91101" w:rsidRPr="005C7EED">
        <w:lastRenderedPageBreak/>
        <w:t xml:space="preserve">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lastRenderedPageBreak/>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 xml:space="preserve">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w:t>
      </w:r>
      <w:r>
        <w:lastRenderedPageBreak/>
        <w:t>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t>Zhotovitel prohlašuje, že žádný z jeho Poddodavatelů 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w:t>
      </w:r>
      <w:r w:rsidRPr="005C7EED">
        <w:rPr>
          <w:rFonts w:ascii="Verdana" w:hAnsi="Verdana" w:cs="Calibri"/>
        </w:rPr>
        <w:lastRenderedPageBreak/>
        <w:t xml:space="preserve">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w:t>
      </w:r>
      <w:r w:rsidRPr="005C7EED">
        <w:lastRenderedPageBreak/>
        <w:t xml:space="preserve">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lastRenderedPageBreak/>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rsidR="00785AD1">
        <w:t>…</w:t>
      </w:r>
      <w:r>
        <w:t>…………</w:t>
      </w:r>
      <w:r>
        <w:tab/>
      </w:r>
      <w:r>
        <w:tab/>
      </w:r>
      <w:r>
        <w:tab/>
      </w:r>
      <w:r>
        <w:tab/>
        <w:t>………………………</w:t>
      </w:r>
      <w:r w:rsidR="00342DC7">
        <w:t>…</w:t>
      </w:r>
      <w:r w:rsidR="00785AD1">
        <w:t>…</w:t>
      </w:r>
      <w:r>
        <w:t>………………</w:t>
      </w:r>
      <w:r w:rsidR="00785AD1">
        <w:t>…</w:t>
      </w:r>
      <w:bookmarkStart w:id="2" w:name="_GoBack"/>
      <w:bookmarkEnd w:id="2"/>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F762A8" w:rsidRDefault="00F762A8" w:rsidP="00E175B2">
      <w:pPr>
        <w:pStyle w:val="Nadpisbezsl1-1"/>
      </w:pPr>
    </w:p>
    <w:sectPr w:rsidR="00F762A8" w:rsidSect="00E00622">
      <w:headerReference w:type="default" r:id="rId12"/>
      <w:footerReference w:type="default" r:id="rId13"/>
      <w:headerReference w:type="first" r:id="rId14"/>
      <w:pgSz w:w="11906" w:h="16838" w:code="9"/>
      <w:pgMar w:top="1768"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5AD1">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AD1">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E00622">
          <w:pPr>
            <w:pStyle w:val="Zpat"/>
            <w:jc w:val="center"/>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622" w:rsidRDefault="00E00622">
    <w:pPr>
      <w:pStyle w:val="Zhlav"/>
    </w:pPr>
    <w:r w:rsidRPr="004C7962">
      <w:rPr>
        <w:noProof/>
        <w:lang w:eastAsia="cs-CZ"/>
      </w:rPr>
      <w:drawing>
        <wp:anchor distT="0" distB="0" distL="114300" distR="114300" simplePos="0" relativeHeight="251660288" behindDoc="1" locked="0" layoutInCell="1" allowOverlap="1">
          <wp:simplePos x="0" y="0"/>
          <wp:positionH relativeFrom="column">
            <wp:posOffset>4333875</wp:posOffset>
          </wp:positionH>
          <wp:positionV relativeFrom="paragraph">
            <wp:posOffset>24765</wp:posOffset>
          </wp:positionV>
          <wp:extent cx="1085850" cy="625225"/>
          <wp:effectExtent l="0" t="0" r="0" b="3810"/>
          <wp:wrapNone/>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5850" cy="625225"/>
                  </a:xfrm>
                  <a:prstGeom prst="rect">
                    <a:avLst/>
                  </a:prstGeom>
                  <a:noFill/>
                  <a:ln>
                    <a:noFill/>
                  </a:ln>
                </pic:spPr>
              </pic:pic>
            </a:graphicData>
          </a:graphic>
        </wp:anchor>
      </w:drawing>
    </w:r>
    <w:r>
      <w:rPr>
        <w:noProof/>
        <w:lang w:eastAsia="cs-CZ"/>
      </w:rPr>
      <w:drawing>
        <wp:anchor distT="0" distB="0" distL="114300" distR="114300" simplePos="0" relativeHeight="251659264" behindDoc="1" locked="1" layoutInCell="1" allowOverlap="1" wp14:anchorId="5C9BBC12" wp14:editId="5D8AE291">
          <wp:simplePos x="0" y="0"/>
          <wp:positionH relativeFrom="column">
            <wp:posOffset>-876300</wp:posOffset>
          </wp:positionH>
          <wp:positionV relativeFrom="page">
            <wp:posOffset>390525</wp:posOffset>
          </wp:positionV>
          <wp:extent cx="1717040" cy="63690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2">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A68A9"/>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5AD1"/>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00622"/>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58500A0"/>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D072F2B-DF0B-4568-9871-EBF093ED2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TotalTime>
  <Pages>14</Pages>
  <Words>6583</Words>
  <Characters>38846</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2019-03-12T14:16:00Z</cp:lastPrinted>
  <dcterms:created xsi:type="dcterms:W3CDTF">2022-09-29T11:44:00Z</dcterms:created>
  <dcterms:modified xsi:type="dcterms:W3CDTF">2023-06-22T07:26:00Z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