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8DCCF" w14:textId="1B8E7428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EF1E5F">
        <w:rPr>
          <w:rFonts w:ascii="Verdana" w:hAnsi="Verdana"/>
          <w:b/>
          <w:noProof/>
        </w:rPr>
        <w:t>b</w:t>
      </w:r>
      <w:r w:rsidR="00F87034" w:rsidRPr="00342B16">
        <w:rPr>
          <w:rFonts w:ascii="Verdana" w:hAnsi="Verdana"/>
          <w:b/>
          <w:noProof/>
        </w:rPr>
        <w:t>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29A0F36E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</w:t>
      </w:r>
      <w:r w:rsidR="00EF1E5F">
        <w:rPr>
          <w:rFonts w:ascii="Verdana" w:hAnsi="Verdana"/>
          <w:b/>
        </w:rPr>
        <w:t xml:space="preserve"> 2023/2024</w:t>
      </w:r>
      <w:r w:rsidRPr="00342B16">
        <w:rPr>
          <w:rFonts w:ascii="Verdana" w:hAnsi="Verdana"/>
          <w:b/>
        </w:rPr>
        <w:t>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6DAB0725" w14:textId="032C7F18" w:rsidR="00D6527D" w:rsidRDefault="0044505F" w:rsidP="0059514C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rPr>
          <w:rFonts w:ascii="Verdana" w:hAnsi="Verdana"/>
          <w:noProof/>
        </w:rPr>
      </w:pPr>
      <w:r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provede systémové uzavření</w:t>
      </w:r>
      <w:r w:rsidR="001A076A" w:rsidRPr="00911843">
        <w:rPr>
          <w:rFonts w:ascii="Verdana" w:hAnsi="Verdana"/>
          <w:noProof/>
        </w:rPr>
        <w:t xml:space="preserve"> platební stanice</w:t>
      </w:r>
      <w:r w:rsidR="00687877" w:rsidRPr="00911843">
        <w:rPr>
          <w:rFonts w:ascii="Verdana" w:hAnsi="Verdana"/>
          <w:noProof/>
        </w:rPr>
        <w:t xml:space="preserve"> - uzávěrku</w:t>
      </w:r>
      <w:r w:rsidR="001A076A" w:rsidRPr="0091184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 xml:space="preserve">dle </w:t>
      </w:r>
      <w:r w:rsidR="00567912">
        <w:rPr>
          <w:rFonts w:ascii="Verdana" w:hAnsi="Verdana"/>
          <w:noProof/>
        </w:rPr>
        <w:t>stanovených</w:t>
      </w:r>
      <w:r w:rsidR="009419E7">
        <w:rPr>
          <w:rFonts w:ascii="Verdana" w:hAnsi="Verdana"/>
          <w:noProof/>
        </w:rPr>
        <w:t xml:space="preserve"> četností výběru </w:t>
      </w:r>
      <w:r w:rsidR="00577DCE">
        <w:rPr>
          <w:rFonts w:ascii="Verdana" w:hAnsi="Verdana"/>
          <w:noProof/>
        </w:rPr>
        <w:t xml:space="preserve">hotovosti </w:t>
      </w:r>
      <w:r w:rsidR="00C61736">
        <w:rPr>
          <w:rFonts w:ascii="Verdana" w:hAnsi="Verdana"/>
          <w:noProof/>
        </w:rPr>
        <w:t>uvedených v Příloze č.</w:t>
      </w:r>
      <w:r w:rsidR="00502AB7">
        <w:rPr>
          <w:rFonts w:ascii="Verdana" w:hAnsi="Verdana"/>
          <w:noProof/>
        </w:rPr>
        <w:t xml:space="preserve"> 14</w:t>
      </w:r>
      <w:r w:rsidR="00C61736">
        <w:rPr>
          <w:rFonts w:ascii="Verdana" w:hAnsi="Verdana"/>
          <w:noProof/>
        </w:rPr>
        <w:t xml:space="preserve"> </w:t>
      </w:r>
      <w:r w:rsidR="00735A49" w:rsidRPr="00911843">
        <w:rPr>
          <w:rFonts w:ascii="Verdana" w:hAnsi="Verdana"/>
          <w:noProof/>
        </w:rPr>
        <w:t>v</w:t>
      </w:r>
      <w:r w:rsidR="008205A4">
        <w:rPr>
          <w:rFonts w:ascii="Verdana" w:hAnsi="Verdana"/>
          <w:noProof/>
        </w:rPr>
        <w:t> </w:t>
      </w:r>
      <w:r w:rsidR="00735A49" w:rsidRPr="00911843">
        <w:rPr>
          <w:rFonts w:ascii="Verdana" w:hAnsi="Verdana"/>
          <w:noProof/>
        </w:rPr>
        <w:t>období</w:t>
      </w:r>
      <w:r w:rsidR="008205A4">
        <w:rPr>
          <w:rFonts w:ascii="Verdana" w:hAnsi="Verdana"/>
          <w:noProof/>
        </w:rPr>
        <w:t>:</w:t>
      </w:r>
      <w:r w:rsidR="009419E7">
        <w:rPr>
          <w:rFonts w:ascii="Verdana" w:hAnsi="Verdana"/>
          <w:noProof/>
        </w:rPr>
        <w:br/>
        <w:t xml:space="preserve">a) </w:t>
      </w:r>
      <w:r w:rsidR="00337140">
        <w:rPr>
          <w:rFonts w:ascii="Verdana" w:hAnsi="Verdana"/>
          <w:noProof/>
        </w:rPr>
        <w:t xml:space="preserve">1/T - </w:t>
      </w:r>
      <w:r w:rsidR="00735A49" w:rsidRPr="00407803">
        <w:rPr>
          <w:rFonts w:ascii="Verdana" w:hAnsi="Verdana"/>
          <w:noProof/>
        </w:rPr>
        <w:t xml:space="preserve"> </w:t>
      </w:r>
      <w:r w:rsidR="009419E7">
        <w:rPr>
          <w:rFonts w:ascii="Verdana" w:hAnsi="Verdana"/>
          <w:noProof/>
        </w:rPr>
        <w:t>1 x za týden</w:t>
      </w:r>
      <w:r w:rsidR="009A1B97">
        <w:rPr>
          <w:rFonts w:ascii="Verdana" w:hAnsi="Verdana"/>
          <w:noProof/>
        </w:rPr>
        <w:t xml:space="preserve"> – pravidelně jeden </w:t>
      </w:r>
      <w:r>
        <w:rPr>
          <w:rFonts w:ascii="Verdana" w:hAnsi="Verdana"/>
          <w:noProof/>
        </w:rPr>
        <w:t xml:space="preserve">poskytovatelem </w:t>
      </w:r>
      <w:r w:rsidR="00877574">
        <w:rPr>
          <w:rFonts w:ascii="Verdana" w:hAnsi="Verdana"/>
          <w:noProof/>
        </w:rPr>
        <w:t xml:space="preserve">stanovený </w:t>
      </w:r>
      <w:r w:rsidR="009A1B97">
        <w:rPr>
          <w:rFonts w:ascii="Verdana" w:hAnsi="Verdana"/>
          <w:noProof/>
        </w:rPr>
        <w:t>den v týdnu +/- jeden den,</w:t>
      </w:r>
      <w:r w:rsidR="009419E7">
        <w:rPr>
          <w:rFonts w:ascii="Verdana" w:hAnsi="Verdana"/>
          <w:noProof/>
        </w:rPr>
        <w:br/>
        <w:t xml:space="preserve">b) </w:t>
      </w:r>
      <w:r w:rsidR="00337140">
        <w:rPr>
          <w:rFonts w:ascii="Verdana" w:hAnsi="Verdana"/>
          <w:noProof/>
        </w:rPr>
        <w:t xml:space="preserve">2/T - </w:t>
      </w:r>
      <w:r w:rsidR="009419E7">
        <w:rPr>
          <w:rFonts w:ascii="Verdana" w:hAnsi="Verdana"/>
          <w:noProof/>
        </w:rPr>
        <w:t>2 x za týden</w:t>
      </w:r>
      <w:r w:rsidR="009A1B97">
        <w:rPr>
          <w:rFonts w:ascii="Verdana" w:hAnsi="Verdana"/>
          <w:noProof/>
        </w:rPr>
        <w:t xml:space="preserve"> – pravidelně </w:t>
      </w:r>
      <w:r w:rsidR="00577DCE">
        <w:rPr>
          <w:rFonts w:ascii="Verdana" w:hAnsi="Verdana"/>
          <w:noProof/>
        </w:rPr>
        <w:t xml:space="preserve">rovnoměrně </w:t>
      </w:r>
      <w:r w:rsidR="00BB7FD2">
        <w:rPr>
          <w:rFonts w:ascii="Verdana" w:hAnsi="Verdana"/>
          <w:noProof/>
        </w:rPr>
        <w:t xml:space="preserve">dva </w:t>
      </w:r>
      <w:r>
        <w:rPr>
          <w:rFonts w:ascii="Verdana" w:hAnsi="Verdana"/>
          <w:noProof/>
        </w:rPr>
        <w:t>poskytovatel</w:t>
      </w:r>
      <w:r w:rsidR="00877574">
        <w:rPr>
          <w:rFonts w:ascii="Verdana" w:hAnsi="Verdana"/>
          <w:noProof/>
        </w:rPr>
        <w:t xml:space="preserve">em stanovené </w:t>
      </w:r>
      <w:r w:rsidR="00BB7FD2">
        <w:rPr>
          <w:rFonts w:ascii="Verdana" w:hAnsi="Verdana"/>
          <w:noProof/>
        </w:rPr>
        <w:t>dny v týdnu +/- jeden den,</w:t>
      </w:r>
      <w:r w:rsidR="009419E7">
        <w:rPr>
          <w:rFonts w:ascii="Verdana" w:hAnsi="Verdana"/>
          <w:noProof/>
        </w:rPr>
        <w:br/>
        <w:t xml:space="preserve">c) </w:t>
      </w:r>
      <w:r w:rsidR="00337140">
        <w:rPr>
          <w:rFonts w:ascii="Verdana" w:hAnsi="Verdana"/>
          <w:noProof/>
        </w:rPr>
        <w:t xml:space="preserve">3/T - </w:t>
      </w:r>
      <w:r w:rsidR="009419E7">
        <w:rPr>
          <w:rFonts w:ascii="Verdana" w:hAnsi="Verdana"/>
          <w:noProof/>
        </w:rPr>
        <w:t>3 x za týden</w:t>
      </w:r>
      <w:r w:rsidR="00BB7FD2">
        <w:rPr>
          <w:rFonts w:ascii="Verdana" w:hAnsi="Verdana"/>
          <w:noProof/>
        </w:rPr>
        <w:t xml:space="preserve"> – pravidelně v pondělí, ve </w:t>
      </w:r>
      <w:r w:rsidR="0059514C">
        <w:rPr>
          <w:rFonts w:ascii="Verdana" w:hAnsi="Verdana"/>
          <w:noProof/>
        </w:rPr>
        <w:t>středu</w:t>
      </w:r>
      <w:r w:rsidR="00BB7FD2">
        <w:rPr>
          <w:rFonts w:ascii="Verdana" w:hAnsi="Verdana"/>
          <w:noProof/>
        </w:rPr>
        <w:t xml:space="preserve"> a v </w:t>
      </w:r>
      <w:r w:rsidR="0059514C">
        <w:rPr>
          <w:rFonts w:ascii="Verdana" w:hAnsi="Verdana"/>
          <w:noProof/>
        </w:rPr>
        <w:t>sobotu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d) </w:t>
      </w:r>
      <w:r w:rsidR="00337140">
        <w:rPr>
          <w:rFonts w:ascii="Verdana" w:hAnsi="Verdana"/>
          <w:noProof/>
        </w:rPr>
        <w:t xml:space="preserve">1/M - </w:t>
      </w:r>
      <w:r w:rsidR="009419E7">
        <w:rPr>
          <w:rFonts w:ascii="Verdana" w:hAnsi="Verdana"/>
          <w:noProof/>
        </w:rPr>
        <w:t>1 x za měsíc</w:t>
      </w:r>
      <w:r w:rsidR="00BB7FD2">
        <w:rPr>
          <w:rFonts w:ascii="Verdana" w:hAnsi="Verdana"/>
          <w:noProof/>
        </w:rPr>
        <w:t xml:space="preserve"> –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kalendářního měsíce, 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e) </w:t>
      </w:r>
      <w:r w:rsidR="00337140">
        <w:rPr>
          <w:rFonts w:ascii="Verdana" w:hAnsi="Verdana"/>
          <w:noProof/>
        </w:rPr>
        <w:t>2/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2 x za měsíc</w:t>
      </w:r>
      <w:r w:rsidR="00BB7FD2">
        <w:rPr>
          <w:rFonts w:ascii="Verdana" w:hAnsi="Verdana"/>
          <w:noProof/>
        </w:rPr>
        <w:t xml:space="preserve"> – </w:t>
      </w:r>
      <w:r w:rsidR="00877574">
        <w:rPr>
          <w:rFonts w:ascii="Verdana" w:hAnsi="Verdana"/>
          <w:noProof/>
        </w:rPr>
        <w:t xml:space="preserve">pravidelně v jeden </w:t>
      </w:r>
      <w:r>
        <w:rPr>
          <w:rFonts w:ascii="Verdana" w:hAnsi="Verdana"/>
          <w:noProof/>
        </w:rPr>
        <w:t>poskytovatel</w:t>
      </w:r>
      <w:r w:rsidR="00877574">
        <w:rPr>
          <w:rFonts w:ascii="Verdana" w:hAnsi="Verdana"/>
          <w:noProof/>
        </w:rPr>
        <w:t xml:space="preserve">em stanovený den v druhém a čtvrtém týdnu </w:t>
      </w:r>
      <w:r w:rsidR="00BB7FD2">
        <w:rPr>
          <w:rFonts w:ascii="Verdana" w:hAnsi="Verdana"/>
          <w:noProof/>
        </w:rPr>
        <w:t xml:space="preserve"> kalendářního měsíce</w:t>
      </w:r>
      <w:r w:rsidR="00D20C19">
        <w:rPr>
          <w:rFonts w:ascii="Verdana" w:hAnsi="Verdana"/>
          <w:noProof/>
        </w:rPr>
        <w:t xml:space="preserve"> +/- jeden den,</w:t>
      </w:r>
      <w:r w:rsidR="00D20C19" w:rsidRPr="00D20C19">
        <w:rPr>
          <w:rFonts w:ascii="Verdana" w:hAnsi="Verdana"/>
          <w:noProof/>
        </w:rPr>
        <w:t xml:space="preserve"> </w:t>
      </w:r>
      <w:r w:rsidR="00D20C19" w:rsidRPr="00A1564E">
        <w:rPr>
          <w:rFonts w:ascii="Verdana" w:hAnsi="Verdana"/>
          <w:noProof/>
        </w:rPr>
        <w:t>nejpozději poslední pracovní den kalendářního měsíce</w:t>
      </w:r>
      <w:r w:rsidR="00D20C19">
        <w:rPr>
          <w:rFonts w:ascii="Verdana" w:hAnsi="Verdana"/>
          <w:noProof/>
        </w:rPr>
        <w:t>,</w:t>
      </w:r>
      <w:r w:rsidR="009419E7">
        <w:rPr>
          <w:rFonts w:ascii="Verdana" w:hAnsi="Verdana"/>
          <w:noProof/>
        </w:rPr>
        <w:br/>
        <w:t xml:space="preserve">f) </w:t>
      </w:r>
      <w:r w:rsidR="00337140">
        <w:rPr>
          <w:rFonts w:ascii="Verdana" w:hAnsi="Verdana"/>
          <w:noProof/>
        </w:rPr>
        <w:t>3/</w:t>
      </w:r>
      <w:r w:rsidR="00877574">
        <w:rPr>
          <w:rFonts w:ascii="Verdana" w:hAnsi="Verdana"/>
          <w:noProof/>
        </w:rPr>
        <w:t>M</w:t>
      </w:r>
      <w:r w:rsidR="00337140">
        <w:rPr>
          <w:rFonts w:ascii="Verdana" w:hAnsi="Verdana"/>
          <w:noProof/>
        </w:rPr>
        <w:t xml:space="preserve"> - </w:t>
      </w:r>
      <w:r w:rsidR="009419E7">
        <w:rPr>
          <w:rFonts w:ascii="Verdana" w:hAnsi="Verdana"/>
          <w:noProof/>
        </w:rPr>
        <w:t>3 x za měsíc</w:t>
      </w:r>
      <w:r w:rsidR="00BB7FD2">
        <w:rPr>
          <w:rFonts w:ascii="Verdana" w:hAnsi="Verdana"/>
          <w:noProof/>
        </w:rPr>
        <w:t xml:space="preserve"> – desátý, dvacátý a třicátý den kalendářního měsíce +/- </w:t>
      </w:r>
      <w:r w:rsidR="00877574">
        <w:rPr>
          <w:rFonts w:ascii="Verdana" w:hAnsi="Verdana"/>
          <w:noProof/>
        </w:rPr>
        <w:t>dva</w:t>
      </w:r>
      <w:r w:rsidR="00BB7FD2">
        <w:rPr>
          <w:rFonts w:ascii="Verdana" w:hAnsi="Verdana"/>
          <w:noProof/>
        </w:rPr>
        <w:t xml:space="preserve"> dny,</w:t>
      </w:r>
      <w:r w:rsidR="008A023E">
        <w:rPr>
          <w:rFonts w:ascii="Verdana" w:hAnsi="Verdana"/>
          <w:noProof/>
        </w:rPr>
        <w:br/>
        <w:t xml:space="preserve">g) </w:t>
      </w:r>
      <w:r w:rsidR="00337140">
        <w:rPr>
          <w:rFonts w:ascii="Verdana" w:hAnsi="Verdana"/>
          <w:noProof/>
        </w:rPr>
        <w:t xml:space="preserve">1/2M - </w:t>
      </w:r>
      <w:r w:rsidR="008A023E">
        <w:rPr>
          <w:rFonts w:ascii="Verdana" w:hAnsi="Verdana"/>
          <w:noProof/>
        </w:rPr>
        <w:t>1 x za 2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druhého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BB7FD2">
        <w:rPr>
          <w:rFonts w:ascii="Verdana" w:hAnsi="Verdana"/>
          <w:noProof/>
        </w:rPr>
        <w:t>,</w:t>
      </w:r>
      <w:r w:rsidR="008A023E">
        <w:rPr>
          <w:rFonts w:ascii="Verdana" w:hAnsi="Verdana"/>
          <w:noProof/>
        </w:rPr>
        <w:br/>
        <w:t xml:space="preserve">h) </w:t>
      </w:r>
      <w:r w:rsidR="00337140">
        <w:rPr>
          <w:rFonts w:ascii="Verdana" w:hAnsi="Verdana"/>
          <w:noProof/>
        </w:rPr>
        <w:t xml:space="preserve">1/3M - </w:t>
      </w:r>
      <w:r w:rsidR="008A023E">
        <w:rPr>
          <w:rFonts w:ascii="Verdana" w:hAnsi="Verdana"/>
          <w:noProof/>
        </w:rPr>
        <w:t>1 x za 3 měsíce</w:t>
      </w:r>
      <w:r w:rsidR="00BB7FD2">
        <w:rPr>
          <w:rFonts w:ascii="Verdana" w:hAnsi="Verdana"/>
          <w:noProof/>
        </w:rPr>
        <w:t xml:space="preserve"> - v </w:t>
      </w:r>
      <w:r w:rsidR="00BB7FD2" w:rsidRPr="00A1564E">
        <w:rPr>
          <w:rFonts w:ascii="Verdana" w:hAnsi="Verdana"/>
          <w:noProof/>
        </w:rPr>
        <w:t xml:space="preserve">posledních </w:t>
      </w:r>
      <w:r w:rsidR="00BB7FD2">
        <w:rPr>
          <w:rFonts w:ascii="Verdana" w:hAnsi="Verdana"/>
          <w:noProof/>
        </w:rPr>
        <w:t>pěti</w:t>
      </w:r>
      <w:r w:rsidR="00BB7FD2" w:rsidRPr="00A1564E">
        <w:rPr>
          <w:rFonts w:ascii="Verdana" w:hAnsi="Verdana"/>
          <w:noProof/>
        </w:rPr>
        <w:t xml:space="preserve"> pracovních dn</w:t>
      </w:r>
      <w:r w:rsidR="00BB7FD2">
        <w:rPr>
          <w:rFonts w:ascii="Verdana" w:hAnsi="Verdana"/>
          <w:noProof/>
        </w:rPr>
        <w:t>ech</w:t>
      </w:r>
      <w:r w:rsidR="00BB7FD2" w:rsidRPr="00A1564E">
        <w:rPr>
          <w:rFonts w:ascii="Verdana" w:hAnsi="Verdana"/>
          <w:noProof/>
        </w:rPr>
        <w:t xml:space="preserve"> </w:t>
      </w:r>
      <w:r w:rsidR="00BB7FD2">
        <w:rPr>
          <w:rFonts w:ascii="Verdana" w:hAnsi="Verdana"/>
          <w:noProof/>
        </w:rPr>
        <w:t xml:space="preserve">každého třetího </w:t>
      </w:r>
      <w:r w:rsidR="00BB7FD2" w:rsidRPr="00A1564E">
        <w:rPr>
          <w:rFonts w:ascii="Verdana" w:hAnsi="Verdana"/>
          <w:noProof/>
        </w:rPr>
        <w:t>kalendářního měsíce</w:t>
      </w:r>
      <w:r w:rsidR="0004138F">
        <w:rPr>
          <w:rFonts w:ascii="Verdana" w:hAnsi="Verdana"/>
          <w:noProof/>
        </w:rPr>
        <w:t xml:space="preserve"> od data účinnosti smlouvy</w:t>
      </w:r>
      <w:r w:rsidR="00BB7FD2">
        <w:rPr>
          <w:rFonts w:ascii="Verdana" w:hAnsi="Verdana"/>
          <w:noProof/>
        </w:rPr>
        <w:t xml:space="preserve">, </w:t>
      </w:r>
      <w:r w:rsidR="00BB7FD2" w:rsidRPr="00A1564E">
        <w:rPr>
          <w:rFonts w:ascii="Verdana" w:hAnsi="Verdana"/>
          <w:noProof/>
        </w:rPr>
        <w:t>nejpozději poslední pracovní den kalendářního měsíce</w:t>
      </w:r>
      <w:r w:rsidR="000551D1">
        <w:rPr>
          <w:rFonts w:ascii="Verdana" w:hAnsi="Verdana"/>
          <w:noProof/>
        </w:rPr>
        <w:t>,</w:t>
      </w:r>
      <w:r w:rsidR="000551D1">
        <w:rPr>
          <w:rFonts w:ascii="Verdana" w:hAnsi="Verdana"/>
          <w:noProof/>
        </w:rPr>
        <w:br/>
        <w:t xml:space="preserve">ch) 1/6M – 1 x za 6 měsíců - v </w:t>
      </w:r>
      <w:r w:rsidR="000551D1" w:rsidRPr="00A1564E">
        <w:rPr>
          <w:rFonts w:ascii="Verdana" w:hAnsi="Verdana"/>
          <w:noProof/>
        </w:rPr>
        <w:t xml:space="preserve">posledních </w:t>
      </w:r>
      <w:r w:rsidR="000551D1">
        <w:rPr>
          <w:rFonts w:ascii="Verdana" w:hAnsi="Verdana"/>
          <w:noProof/>
        </w:rPr>
        <w:t>pěti</w:t>
      </w:r>
      <w:r w:rsidR="000551D1" w:rsidRPr="00A1564E">
        <w:rPr>
          <w:rFonts w:ascii="Verdana" w:hAnsi="Verdana"/>
          <w:noProof/>
        </w:rPr>
        <w:t xml:space="preserve"> pracovních dn</w:t>
      </w:r>
      <w:r w:rsidR="000551D1">
        <w:rPr>
          <w:rFonts w:ascii="Verdana" w:hAnsi="Verdana"/>
          <w:noProof/>
        </w:rPr>
        <w:t>ech</w:t>
      </w:r>
      <w:r w:rsidR="000551D1" w:rsidRPr="00A1564E">
        <w:rPr>
          <w:rFonts w:ascii="Verdana" w:hAnsi="Verdana"/>
          <w:noProof/>
        </w:rPr>
        <w:t xml:space="preserve"> </w:t>
      </w:r>
      <w:r w:rsidR="000551D1">
        <w:rPr>
          <w:rFonts w:ascii="Verdana" w:hAnsi="Verdana"/>
          <w:noProof/>
        </w:rPr>
        <w:t xml:space="preserve">každého šestého </w:t>
      </w:r>
      <w:r w:rsidR="000551D1" w:rsidRPr="00A1564E">
        <w:rPr>
          <w:rFonts w:ascii="Verdana" w:hAnsi="Verdana"/>
          <w:noProof/>
        </w:rPr>
        <w:t>kalendářního měsíce</w:t>
      </w:r>
      <w:r w:rsidR="000551D1">
        <w:rPr>
          <w:rFonts w:ascii="Verdana" w:hAnsi="Verdana"/>
          <w:noProof/>
        </w:rPr>
        <w:t xml:space="preserve"> od data účinnosti smlouvy, </w:t>
      </w:r>
      <w:r w:rsidR="000551D1" w:rsidRPr="00A1564E">
        <w:rPr>
          <w:rFonts w:ascii="Verdana" w:hAnsi="Verdana"/>
          <w:noProof/>
        </w:rPr>
        <w:t>nejpozději poslední pracovní den kalendářního měsíce</w:t>
      </w:r>
      <w:r w:rsidR="000551D1">
        <w:rPr>
          <w:rFonts w:ascii="Verdana" w:hAnsi="Verdana"/>
          <w:noProof/>
        </w:rPr>
        <w:t>.</w:t>
      </w:r>
    </w:p>
    <w:p w14:paraId="2C9E298C" w14:textId="158990D2" w:rsidR="00911843" w:rsidRPr="00407803" w:rsidRDefault="00BB7FD2" w:rsidP="00D6527D">
      <w:pPr>
        <w:pStyle w:val="Odstavecseseznamem"/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br/>
      </w:r>
      <w:r w:rsidR="00735A49"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="001E2F31"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</w:t>
      </w:r>
      <w:r w:rsidR="00EF1E5F">
        <w:rPr>
          <w:rFonts w:ascii="Verdana" w:hAnsi="Verdana"/>
          <w:noProof/>
        </w:rPr>
        <w:t>c</w:t>
      </w:r>
      <w:r w:rsidR="005603BA">
        <w:rPr>
          <w:rFonts w:ascii="Verdana" w:hAnsi="Verdana"/>
          <w:noProof/>
        </w:rPr>
        <w:t xml:space="preserve">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="001E2F31"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="001E2F31"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="001E2F31"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="001E2F31"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="001E2F31"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a odeslání dat do systému </w:t>
      </w:r>
      <w:r w:rsidR="0044505F">
        <w:rPr>
          <w:rFonts w:ascii="Verdana" w:hAnsi="Verdana"/>
          <w:noProof/>
        </w:rPr>
        <w:t>objednatele</w:t>
      </w:r>
      <w:r w:rsidR="001E2F31" w:rsidRPr="00407803">
        <w:rPr>
          <w:rFonts w:ascii="Verdana" w:hAnsi="Verdana"/>
          <w:noProof/>
        </w:rPr>
        <w:t xml:space="preserve">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="001E2F31"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="001E2F31" w:rsidRPr="00407803">
        <w:rPr>
          <w:rFonts w:ascii="Verdana" w:hAnsi="Verdana"/>
          <w:noProof/>
        </w:rPr>
        <w:t xml:space="preserve"> s uložením předchozího období a stavu mincovníku. Toto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1E2F31" w:rsidRPr="00407803">
        <w:rPr>
          <w:rFonts w:ascii="Verdana" w:hAnsi="Verdana"/>
          <w:noProof/>
        </w:rPr>
        <w:t>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="001E2F31"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="001E2F31"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 xml:space="preserve">U mincovních automatů, které nejsou vybaveny tiskárnou, odpovědný zaměstnanec </w:t>
      </w:r>
      <w:r w:rsidR="0044505F">
        <w:rPr>
          <w:rFonts w:ascii="Verdana" w:hAnsi="Verdana"/>
          <w:noProof/>
        </w:rPr>
        <w:t>poskytovatel</w:t>
      </w:r>
      <w:r w:rsidR="00C419BA">
        <w:rPr>
          <w:rFonts w:ascii="Verdana" w:hAnsi="Verdana"/>
          <w:noProof/>
        </w:rPr>
        <w:t>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 xml:space="preserve">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 xml:space="preserve"> přepočítání finanční hotovosti pro </w:t>
      </w:r>
      <w:r w:rsidR="0044505F">
        <w:rPr>
          <w:rFonts w:ascii="Verdana" w:hAnsi="Verdana"/>
          <w:noProof/>
        </w:rPr>
        <w:t>objednatele</w:t>
      </w:r>
      <w:r w:rsidR="00911843" w:rsidRPr="00407803">
        <w:rPr>
          <w:rFonts w:ascii="Verdana" w:hAnsi="Verdana"/>
          <w:noProof/>
        </w:rPr>
        <w:t xml:space="preserve"> s uvedením údajů o výsledcích zpracování hotovosti pro každou platební stanici zvlášť. Bezprostředně po skončení přepočítávání hotovosti tentýž den provede platební příkaz k zaslání finanční hotovosti na účet </w:t>
      </w:r>
      <w:r w:rsidR="0044505F">
        <w:rPr>
          <w:rFonts w:ascii="Verdana" w:hAnsi="Verdana"/>
          <w:noProof/>
        </w:rPr>
        <w:t>objednatele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>u České národní banky</w:t>
      </w:r>
      <w:r w:rsidR="00785A9F" w:rsidRPr="00407803">
        <w:rPr>
          <w:rFonts w:ascii="Verdana" w:hAnsi="Verdana"/>
          <w:noProof/>
        </w:rPr>
        <w:t xml:space="preserve"> 10006-802011/0710</w:t>
      </w:r>
      <w:r w:rsidR="00911843" w:rsidRPr="00407803">
        <w:rPr>
          <w:rFonts w:ascii="Verdana" w:hAnsi="Verdana"/>
          <w:noProof/>
        </w:rPr>
        <w:t>.</w:t>
      </w:r>
      <w:r w:rsidR="009F0A6A" w:rsidRPr="00407803">
        <w:rPr>
          <w:rFonts w:ascii="Verdana" w:hAnsi="Verdana"/>
          <w:noProof/>
        </w:rPr>
        <w:t xml:space="preserve"> Jako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A06A810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povinen poskytnout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5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Pr="00911843">
        <w:rPr>
          <w:rFonts w:ascii="Verdana" w:hAnsi="Verdana"/>
          <w:noProof/>
        </w:rPr>
        <w:t xml:space="preserve">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09AC991" w:rsidR="001E2F31" w:rsidRPr="00911843" w:rsidRDefault="002E5610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="001E2F31"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 xml:space="preserve"> na své náklady a na své riziko. </w:t>
      </w:r>
      <w:r w:rsidR="0044505F">
        <w:rPr>
          <w:rFonts w:ascii="Verdana" w:hAnsi="Verdana"/>
          <w:noProof/>
        </w:rPr>
        <w:t>Poskytovatel</w:t>
      </w:r>
      <w:r w:rsidR="001E2F31" w:rsidRPr="00911843">
        <w:rPr>
          <w:rFonts w:ascii="Verdana" w:hAnsi="Verdana"/>
          <w:noProof/>
        </w:rPr>
        <w:t xml:space="preserve">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="001E2F31" w:rsidRPr="00911843">
        <w:rPr>
          <w:rFonts w:ascii="Verdana" w:hAnsi="Verdana"/>
          <w:noProof/>
        </w:rPr>
        <w:t xml:space="preserve">až do připsání finančních prostředků na účet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>.</w:t>
      </w:r>
    </w:p>
    <w:p w14:paraId="25F95570" w14:textId="1D338AFB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lastRenderedPageBreak/>
        <w:t xml:space="preserve">Přeprava finanční hotovosti do místa přepočítání finanční hotovosti je plně na náklady a riziko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>e.</w:t>
      </w:r>
    </w:p>
    <w:p w14:paraId="291133C1" w14:textId="5D6787B6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911843">
        <w:rPr>
          <w:rFonts w:ascii="Verdana" w:hAnsi="Verdana"/>
          <w:noProof/>
        </w:rPr>
        <w:t xml:space="preserve">Platební stanice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 přijímají ke zpracování české koruny </w:t>
      </w:r>
      <w:r w:rsidR="0035560B" w:rsidRPr="00911843">
        <w:rPr>
          <w:rFonts w:ascii="Verdana" w:hAnsi="Verdana"/>
          <w:noProof/>
        </w:rPr>
        <w:t xml:space="preserve"> v hodnotách 1, 2, 5, </w:t>
      </w:r>
      <w:r w:rsidRPr="00911843">
        <w:rPr>
          <w:rFonts w:ascii="Verdana" w:hAnsi="Verdana"/>
          <w:noProof/>
        </w:rPr>
        <w:t>10, 20 a 50 Kč</w:t>
      </w:r>
      <w:r w:rsidR="0035560B" w:rsidRPr="00911843">
        <w:rPr>
          <w:rFonts w:ascii="Verdana" w:hAnsi="Verdana"/>
          <w:noProof/>
        </w:rPr>
        <w:t>.</w:t>
      </w:r>
    </w:p>
    <w:p w14:paraId="26CA6C18" w14:textId="06D589E2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Zjistí-li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19C36C07" w14:textId="696DA5A7" w:rsidR="000073A1" w:rsidRPr="00D6527D" w:rsidRDefault="001E2F31" w:rsidP="000073A1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V případě, že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zjistí rozdíl (schodek) mezi údaji uvedenými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em a skutečným stavem – finanční hotovostí zaslanou na </w:t>
      </w:r>
      <w:r w:rsidR="0044505F">
        <w:rPr>
          <w:rFonts w:ascii="Verdana" w:hAnsi="Verdana"/>
          <w:noProof/>
        </w:rPr>
        <w:t>objednatel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.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 xml:space="preserve">. Tento kladný rozdíl připadá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s ním nesmí krýt žádný ze vzniklých schodků na finanční hotovosti. V případě, že bude při kontrole zjištěno, že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takovýto přebytek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zatajil, má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371223192">
    <w:abstractNumId w:val="0"/>
  </w:num>
  <w:num w:numId="2" w16cid:durableId="1279408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73"/>
    <w:rsid w:val="000073A1"/>
    <w:rsid w:val="00012FFB"/>
    <w:rsid w:val="0004138F"/>
    <w:rsid w:val="000551D1"/>
    <w:rsid w:val="0007706D"/>
    <w:rsid w:val="000F36EA"/>
    <w:rsid w:val="0011131F"/>
    <w:rsid w:val="001A076A"/>
    <w:rsid w:val="001A0B21"/>
    <w:rsid w:val="001E2F31"/>
    <w:rsid w:val="0021447B"/>
    <w:rsid w:val="00261FBF"/>
    <w:rsid w:val="002E5610"/>
    <w:rsid w:val="003356A9"/>
    <w:rsid w:val="00337140"/>
    <w:rsid w:val="00342B16"/>
    <w:rsid w:val="0035560B"/>
    <w:rsid w:val="0037783B"/>
    <w:rsid w:val="00407803"/>
    <w:rsid w:val="00422045"/>
    <w:rsid w:val="0044505F"/>
    <w:rsid w:val="004650E7"/>
    <w:rsid w:val="00471DA3"/>
    <w:rsid w:val="004C3779"/>
    <w:rsid w:val="00502AB7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81AFD"/>
    <w:rsid w:val="00687877"/>
    <w:rsid w:val="006A56EE"/>
    <w:rsid w:val="0071683B"/>
    <w:rsid w:val="00735A49"/>
    <w:rsid w:val="00744E33"/>
    <w:rsid w:val="00785A9F"/>
    <w:rsid w:val="007B4A3D"/>
    <w:rsid w:val="008205A4"/>
    <w:rsid w:val="00820750"/>
    <w:rsid w:val="00830598"/>
    <w:rsid w:val="008708CA"/>
    <w:rsid w:val="00877574"/>
    <w:rsid w:val="008A023E"/>
    <w:rsid w:val="008E125F"/>
    <w:rsid w:val="00911843"/>
    <w:rsid w:val="009419E7"/>
    <w:rsid w:val="009A1B97"/>
    <w:rsid w:val="009C2430"/>
    <w:rsid w:val="009F0A6A"/>
    <w:rsid w:val="00A143C2"/>
    <w:rsid w:val="00B06B47"/>
    <w:rsid w:val="00B66B73"/>
    <w:rsid w:val="00BB7FD2"/>
    <w:rsid w:val="00BD59A9"/>
    <w:rsid w:val="00BF4C40"/>
    <w:rsid w:val="00C14D37"/>
    <w:rsid w:val="00C22709"/>
    <w:rsid w:val="00C419BA"/>
    <w:rsid w:val="00C610F6"/>
    <w:rsid w:val="00C61736"/>
    <w:rsid w:val="00C72ED5"/>
    <w:rsid w:val="00C8654A"/>
    <w:rsid w:val="00CB3A54"/>
    <w:rsid w:val="00D0006B"/>
    <w:rsid w:val="00D005D9"/>
    <w:rsid w:val="00D20C19"/>
    <w:rsid w:val="00D6527D"/>
    <w:rsid w:val="00D97979"/>
    <w:rsid w:val="00E935A8"/>
    <w:rsid w:val="00EF1E5F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OVAOES@spravazelezni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809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Jüttnerová Andrea, Mgr.</cp:lastModifiedBy>
  <cp:revision>4</cp:revision>
  <cp:lastPrinted>2023-05-09T10:46:00Z</cp:lastPrinted>
  <dcterms:created xsi:type="dcterms:W3CDTF">2023-06-12T06:37:00Z</dcterms:created>
  <dcterms:modified xsi:type="dcterms:W3CDTF">2023-06-21T16:34:00Z</dcterms:modified>
</cp:coreProperties>
</file>