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7D3F200E" w14:textId="77777777" w:rsidTr="003668A7">
        <w:trPr>
          <w:trHeight w:val="5613"/>
        </w:trPr>
        <w:tc>
          <w:tcPr>
            <w:tcW w:w="8674" w:type="dxa"/>
          </w:tcPr>
          <w:p w14:paraId="59145CF6" w14:textId="77777777" w:rsidR="00EE2F0C" w:rsidRPr="00331E6D" w:rsidRDefault="00EE2F0C" w:rsidP="00EE2F0C">
            <w:pPr>
              <w:pStyle w:val="Stavnebourendokumentu"/>
            </w:pPr>
            <w:bookmarkStart w:id="0" w:name="_Toc499564342"/>
            <w:bookmarkStart w:id="1" w:name="_Toc499564365"/>
            <w:bookmarkStart w:id="2" w:name="_Toc499564758"/>
          </w:p>
        </w:tc>
      </w:tr>
      <w:tr w:rsidR="00EE2F0C" w:rsidRPr="00331E6D" w14:paraId="7F62F313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79BDBF5B" w14:textId="77777777" w:rsidR="00EE2F0C" w:rsidRPr="00331E6D" w:rsidRDefault="00EE2F0C" w:rsidP="00120D55"/>
        </w:tc>
      </w:tr>
      <w:tr w:rsidR="00EE2F0C" w:rsidRPr="00331E6D" w14:paraId="6CD6348D" w14:textId="77777777" w:rsidTr="003668A7">
        <w:trPr>
          <w:cantSplit/>
          <w:trHeight w:hRule="exact" w:val="5273"/>
        </w:trPr>
        <w:tc>
          <w:tcPr>
            <w:tcW w:w="8674" w:type="dxa"/>
          </w:tcPr>
          <w:sdt>
            <w:sdtPr>
              <w:rPr>
                <w:sz w:val="52"/>
                <w:szCs w:val="52"/>
              </w:rPr>
              <w:alias w:val="Název"/>
              <w:tag w:val=""/>
              <w:id w:val="-890489275"/>
              <w:placeholder>
                <w:docPart w:val="2221E5C5A46A458DBBC991FE1BD4709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12142B32" w14:textId="77777777" w:rsidR="00EE2F0C" w:rsidRPr="00331E6D" w:rsidRDefault="00F51C9A" w:rsidP="00120D55">
                <w:pPr>
                  <w:pStyle w:val="Nzev"/>
                </w:pPr>
                <w:r w:rsidRPr="00F51C9A">
                  <w:rPr>
                    <w:sz w:val="52"/>
                    <w:szCs w:val="52"/>
                  </w:rPr>
                  <w:t>Studie p</w:t>
                </w:r>
                <w:r>
                  <w:rPr>
                    <w:sz w:val="52"/>
                    <w:szCs w:val="52"/>
                  </w:rPr>
                  <w:t xml:space="preserve">roveditelnosti trati Velký Osek – Hradec Králové – </w:t>
                </w:r>
                <w:r w:rsidRPr="00F51C9A">
                  <w:rPr>
                    <w:sz w:val="52"/>
                    <w:szCs w:val="52"/>
                  </w:rPr>
                  <w:t>Choceň</w:t>
                </w:r>
              </w:p>
            </w:sdtContent>
          </w:sdt>
          <w:p w14:paraId="2AC9EA6B" w14:textId="77777777" w:rsidR="004C61C9" w:rsidRDefault="00603007" w:rsidP="000F2A5F">
            <w:pPr>
              <w:pStyle w:val="Doplkovinformaceknzvudokumentu"/>
              <w:rPr>
                <w:noProof/>
              </w:rPr>
            </w:pPr>
            <w:r>
              <w:t>Aktualizace ekonomického hodnocení</w:t>
            </w:r>
          </w:p>
          <w:p w14:paraId="1F32C8C4" w14:textId="77777777" w:rsidR="005C3416" w:rsidRDefault="0094018B" w:rsidP="00B741E3">
            <w:pPr>
              <w:pStyle w:val="Nadpis2neuvedenvobsahu"/>
              <w:rPr>
                <w:noProof/>
              </w:rPr>
            </w:pPr>
            <w:r>
              <w:rPr>
                <w:noProof/>
              </w:rPr>
              <w:t xml:space="preserve">Vypracoval: </w:t>
            </w:r>
            <w:r w:rsidR="005C3416">
              <w:rPr>
                <w:noProof/>
              </w:rPr>
              <w:t xml:space="preserve">Správa železnic, </w:t>
            </w:r>
            <w:r w:rsidR="00955182">
              <w:rPr>
                <w:noProof/>
              </w:rPr>
              <w:t xml:space="preserve">státní organizace, </w:t>
            </w:r>
            <w:r w:rsidR="00B741E3">
              <w:rPr>
                <w:noProof/>
              </w:rPr>
              <w:t>odbor projektování staveb</w:t>
            </w:r>
            <w:r>
              <w:rPr>
                <w:noProof/>
              </w:rPr>
              <w:br/>
            </w:r>
          </w:p>
          <w:p w14:paraId="7A4CBC06" w14:textId="77777777" w:rsidR="008D6CFC" w:rsidRPr="00331E6D" w:rsidRDefault="00040192" w:rsidP="00B741E3">
            <w:pPr>
              <w:pStyle w:val="Nadpis2neuvedenvobsahu"/>
            </w:pPr>
            <w:r>
              <w:rPr>
                <w:noProof/>
              </w:rPr>
              <w:t>Prosinec</w:t>
            </w:r>
            <w:r w:rsidR="0094018B">
              <w:rPr>
                <w:noProof/>
              </w:rPr>
              <w:t xml:space="preserve"> 2020</w:t>
            </w:r>
          </w:p>
        </w:tc>
      </w:tr>
      <w:tr w:rsidR="00EE2F0C" w:rsidRPr="00331E6D" w14:paraId="6C4C74B9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70AB0785" w14:textId="77777777" w:rsidR="00EE2F0C" w:rsidRPr="00331E6D" w:rsidRDefault="00EE2F0C" w:rsidP="00120D55"/>
        </w:tc>
      </w:tr>
      <w:tr w:rsidR="00955182" w:rsidRPr="00331E6D" w14:paraId="053A8E3F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4C26BD57" w14:textId="77777777" w:rsidR="00955182" w:rsidRPr="00331E6D" w:rsidRDefault="00955182" w:rsidP="00120D55"/>
        </w:tc>
      </w:tr>
    </w:tbl>
    <w:p w14:paraId="326FBFFC" w14:textId="77777777" w:rsidR="005F4418" w:rsidRPr="00331E6D" w:rsidRDefault="005F4418" w:rsidP="000B1FCB">
      <w:pPr>
        <w:pStyle w:val="Bezmezer"/>
        <w:sectPr w:rsidR="005F4418" w:rsidRPr="00331E6D" w:rsidSect="005F4418">
          <w:headerReference w:type="default" r:id="rId11"/>
          <w:headerReference w:type="first" r:id="rId12"/>
          <w:footerReference w:type="first" r:id="rId13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0424E9C3" w14:textId="77777777" w:rsidR="005C1916" w:rsidRPr="00331E6D" w:rsidRDefault="005C1916" w:rsidP="000B1FCB">
      <w:pPr>
        <w:pStyle w:val="Bezmezer"/>
        <w:sectPr w:rsidR="005C1916" w:rsidRPr="00331E6D" w:rsidSect="005F4418">
          <w:headerReference w:type="even" r:id="rId14"/>
          <w:footerReference w:type="even" r:id="rId15"/>
          <w:headerReference w:type="first" r:id="rId16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1949122845"/>
        <w:docPartObj>
          <w:docPartGallery w:val="Table of Contents"/>
          <w:docPartUnique/>
        </w:docPartObj>
      </w:sdtPr>
      <w:sdtEndPr/>
      <w:sdtContent>
        <w:p w14:paraId="17288EB2" w14:textId="77777777" w:rsidR="00051ED9" w:rsidRPr="00331E6D" w:rsidRDefault="00051ED9" w:rsidP="00FA3806">
          <w:pPr>
            <w:pStyle w:val="Nadpisobsahu"/>
          </w:pPr>
          <w:r w:rsidRPr="00331E6D">
            <w:t>Obsah</w:t>
          </w:r>
        </w:p>
        <w:p w14:paraId="5051EA44" w14:textId="5C00414A" w:rsidR="00BB6068" w:rsidRDefault="00051ED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 w:rsidRPr="00331E6D">
            <w:fldChar w:fldCharType="begin"/>
          </w:r>
          <w:r w:rsidRPr="00331E6D">
            <w:instrText xml:space="preserve"> TOC \o "1-3" \h \z \u </w:instrText>
          </w:r>
          <w:r w:rsidRPr="00331E6D">
            <w:fldChar w:fldCharType="separate"/>
          </w:r>
          <w:hyperlink w:anchor="_Toc97713482" w:history="1">
            <w:r w:rsidR="00BB6068" w:rsidRPr="009C0A02">
              <w:rPr>
                <w:rStyle w:val="Hypertextovodkaz"/>
              </w:rPr>
              <w:t>1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Identifikace projektu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_Toc97713482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 w:rsidR="00253D6E">
              <w:rPr>
                <w:webHidden/>
              </w:rPr>
              <w:t>4</w:t>
            </w:r>
            <w:r w:rsidR="00BB6068">
              <w:rPr>
                <w:webHidden/>
              </w:rPr>
              <w:fldChar w:fldCharType="end"/>
            </w:r>
          </w:hyperlink>
        </w:p>
        <w:p w14:paraId="719513CF" w14:textId="682864CF" w:rsidR="00BB6068" w:rsidRDefault="00253D6E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97713483" w:history="1">
            <w:r w:rsidR="00BB6068" w:rsidRPr="009C0A02">
              <w:rPr>
                <w:rStyle w:val="Hypertextovodkaz"/>
              </w:rPr>
              <w:t>2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Přehled změn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_Toc97713483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BB6068">
              <w:rPr>
                <w:webHidden/>
              </w:rPr>
              <w:fldChar w:fldCharType="end"/>
            </w:r>
          </w:hyperlink>
        </w:p>
        <w:p w14:paraId="7F25D59F" w14:textId="3762C19A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84" w:history="1">
            <w:r w:rsidR="00BB6068" w:rsidRPr="009C0A02">
              <w:rPr>
                <w:rStyle w:val="Hypertextovodkaz"/>
              </w:rPr>
              <w:t>2.1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Investiční náklady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_Toc97713484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BB6068">
              <w:rPr>
                <w:webHidden/>
              </w:rPr>
              <w:fldChar w:fldCharType="end"/>
            </w:r>
          </w:hyperlink>
        </w:p>
        <w:p w14:paraId="6981247A" w14:textId="2DD77070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85" w:history="1">
            <w:r w:rsidR="00BB6068" w:rsidRPr="009C0A02">
              <w:rPr>
                <w:rStyle w:val="Hypertextovodkaz"/>
              </w:rPr>
              <w:t>2.2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Cenová úroveň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_Toc97713485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BB6068">
              <w:rPr>
                <w:webHidden/>
              </w:rPr>
              <w:fldChar w:fldCharType="end"/>
            </w:r>
          </w:hyperlink>
        </w:p>
        <w:p w14:paraId="1A6155EE" w14:textId="75076AE3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86" w:history="1">
            <w:r w:rsidR="00BB6068" w:rsidRPr="009C0A02">
              <w:rPr>
                <w:rStyle w:val="Hypertextovodkaz"/>
              </w:rPr>
              <w:t>2.3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Nové CBA tabulky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_Toc97713486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BB6068">
              <w:rPr>
                <w:webHidden/>
              </w:rPr>
              <w:fldChar w:fldCharType="end"/>
            </w:r>
          </w:hyperlink>
        </w:p>
        <w:p w14:paraId="232A5DBC" w14:textId="667170AE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87" w:history="1">
            <w:r w:rsidR="00BB6068" w:rsidRPr="009C0A02">
              <w:rPr>
                <w:rStyle w:val="Hypertextovodkaz"/>
              </w:rPr>
              <w:t>2.4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Provozní náklady infrastruktury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_Toc97713487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BB6068">
              <w:rPr>
                <w:webHidden/>
              </w:rPr>
              <w:fldChar w:fldCharType="end"/>
            </w:r>
          </w:hyperlink>
        </w:p>
        <w:p w14:paraId="2B5AB9B5" w14:textId="7EE82478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88" w:history="1">
            <w:r w:rsidR="00BB6068" w:rsidRPr="009C0A02">
              <w:rPr>
                <w:rStyle w:val="Hypertextovodkaz"/>
              </w:rPr>
              <w:t>2.5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Provozní náklady vozidel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_Toc97713488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BB6068">
              <w:rPr>
                <w:webHidden/>
              </w:rPr>
              <w:fldChar w:fldCharType="end"/>
            </w:r>
          </w:hyperlink>
        </w:p>
        <w:p w14:paraId="52932860" w14:textId="6F1712FE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89" w:history="1">
            <w:r w:rsidR="00BB6068" w:rsidRPr="009C0A02">
              <w:rPr>
                <w:rStyle w:val="Hypertextovodkaz"/>
              </w:rPr>
              <w:t>2.6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Úspory času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_Toc97713489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BB6068">
              <w:rPr>
                <w:webHidden/>
              </w:rPr>
              <w:fldChar w:fldCharType="end"/>
            </w:r>
          </w:hyperlink>
        </w:p>
        <w:p w14:paraId="7280B99F" w14:textId="3E81C284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90" w:history="1">
            <w:r w:rsidR="00BB6068" w:rsidRPr="009C0A02">
              <w:rPr>
                <w:rStyle w:val="Hypertextovodkaz"/>
              </w:rPr>
              <w:t>2.7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Externality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_Toc97713490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BB6068">
              <w:rPr>
                <w:webHidden/>
              </w:rPr>
              <w:fldChar w:fldCharType="end"/>
            </w:r>
          </w:hyperlink>
        </w:p>
        <w:p w14:paraId="4F5E054B" w14:textId="6BA830AF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91" w:history="1">
            <w:r w:rsidR="00BB6068" w:rsidRPr="009C0A02">
              <w:rPr>
                <w:rStyle w:val="Hypertextovodkaz"/>
              </w:rPr>
              <w:t>2.8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Příjmy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_Toc97713491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BB6068">
              <w:rPr>
                <w:webHidden/>
              </w:rPr>
              <w:fldChar w:fldCharType="end"/>
            </w:r>
          </w:hyperlink>
        </w:p>
        <w:p w14:paraId="64FDE3E3" w14:textId="4AAF07E0" w:rsidR="00BB6068" w:rsidRDefault="00253D6E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97713492" w:history="1">
            <w:r w:rsidR="00BB6068" w:rsidRPr="009C0A02">
              <w:rPr>
                <w:rStyle w:val="Hypertextovodkaz"/>
              </w:rPr>
              <w:t>2.9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Ostatní přínosy EA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_Toc97713492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BB6068">
              <w:rPr>
                <w:webHidden/>
              </w:rPr>
              <w:fldChar w:fldCharType="end"/>
            </w:r>
          </w:hyperlink>
        </w:p>
        <w:p w14:paraId="7B1C6CE7" w14:textId="717A2406" w:rsidR="00BB6068" w:rsidRDefault="00253D6E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97713493" w:history="1">
            <w:r w:rsidR="00BB6068" w:rsidRPr="009C0A02">
              <w:rPr>
                <w:rStyle w:val="Hypertextovodkaz"/>
              </w:rPr>
              <w:t>3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Investiční náklady a zůstatková hodnota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_Toc97713493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BB6068">
              <w:rPr>
                <w:webHidden/>
              </w:rPr>
              <w:fldChar w:fldCharType="end"/>
            </w:r>
          </w:hyperlink>
        </w:p>
        <w:p w14:paraId="0C8ADA46" w14:textId="1E50CF99" w:rsidR="00BB6068" w:rsidRDefault="00253D6E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97713494" w:history="1">
            <w:r w:rsidR="00BB6068" w:rsidRPr="009C0A02">
              <w:rPr>
                <w:rStyle w:val="Hypertextovodkaz"/>
              </w:rPr>
              <w:t>4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Přehled výsledků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_Toc97713494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BB6068">
              <w:rPr>
                <w:webHidden/>
              </w:rPr>
              <w:fldChar w:fldCharType="end"/>
            </w:r>
          </w:hyperlink>
        </w:p>
        <w:p w14:paraId="45E468C0" w14:textId="2B22F2FB" w:rsidR="00BB6068" w:rsidRDefault="00253D6E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97713495" w:history="1">
            <w:r w:rsidR="00BB6068" w:rsidRPr="009C0A02">
              <w:rPr>
                <w:rStyle w:val="Hypertextovodkaz"/>
              </w:rPr>
              <w:t>5</w:t>
            </w:r>
            <w:r w:rsidR="00BB6068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B6068" w:rsidRPr="009C0A02">
              <w:rPr>
                <w:rStyle w:val="Hypertextovodkaz"/>
              </w:rPr>
              <w:t>Závěr</w:t>
            </w:r>
            <w:r w:rsidR="00BB6068">
              <w:rPr>
                <w:webHidden/>
              </w:rPr>
              <w:tab/>
            </w:r>
            <w:r w:rsidR="00BB6068">
              <w:rPr>
                <w:webHidden/>
              </w:rPr>
              <w:fldChar w:fldCharType="begin"/>
            </w:r>
            <w:r w:rsidR="00BB6068">
              <w:rPr>
                <w:webHidden/>
              </w:rPr>
              <w:instrText xml:space="preserve"> PAGEREF _Toc97713495 \h </w:instrText>
            </w:r>
            <w:r w:rsidR="00BB6068">
              <w:rPr>
                <w:webHidden/>
              </w:rPr>
            </w:r>
            <w:r w:rsidR="00BB6068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BB6068">
              <w:rPr>
                <w:webHidden/>
              </w:rPr>
              <w:fldChar w:fldCharType="end"/>
            </w:r>
          </w:hyperlink>
        </w:p>
        <w:p w14:paraId="57BF2797" w14:textId="2CD3B19F" w:rsidR="00051ED9" w:rsidRPr="00331E6D" w:rsidRDefault="00051ED9">
          <w:r w:rsidRPr="00331E6D">
            <w:fldChar w:fldCharType="end"/>
          </w:r>
        </w:p>
      </w:sdtContent>
    </w:sdt>
    <w:p w14:paraId="5B5EB0A2" w14:textId="77777777" w:rsidR="005B4D80" w:rsidRPr="00331E6D" w:rsidRDefault="005B4D80" w:rsidP="0085366B">
      <w:r w:rsidRPr="00331E6D">
        <w:br w:type="page"/>
      </w:r>
    </w:p>
    <w:p w14:paraId="5AAB1C74" w14:textId="77777777" w:rsidR="00B114E0" w:rsidRDefault="00B114E0">
      <w:pPr>
        <w:sectPr w:rsidR="00B114E0" w:rsidSect="005F4418">
          <w:headerReference w:type="default" r:id="rId17"/>
          <w:headerReference w:type="first" r:id="rId18"/>
          <w:footerReference w:type="first" r:id="rId19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716F73AA" w14:textId="77777777" w:rsidR="00B34E92" w:rsidRPr="00331E6D" w:rsidRDefault="00451255" w:rsidP="00FA3806">
      <w:pPr>
        <w:pStyle w:val="Nadpis1"/>
      </w:pPr>
      <w:bookmarkStart w:id="3" w:name="_Toc97713482"/>
      <w:r>
        <w:lastRenderedPageBreak/>
        <w:t>Identifikace projektu</w:t>
      </w:r>
      <w:bookmarkEnd w:id="3"/>
    </w:p>
    <w:p w14:paraId="5BB545AE" w14:textId="29561697" w:rsidR="005C3416" w:rsidRPr="0007287C" w:rsidRDefault="00B741E3" w:rsidP="00955182">
      <w:pPr>
        <w:spacing w:after="120"/>
        <w:rPr>
          <w:noProof/>
        </w:rPr>
      </w:pPr>
      <w:r>
        <w:rPr>
          <w:noProof/>
        </w:rPr>
        <w:t>Jedná se o a</w:t>
      </w:r>
      <w:r w:rsidR="00451255">
        <w:rPr>
          <w:noProof/>
        </w:rPr>
        <w:t>ktualizac</w:t>
      </w:r>
      <w:r>
        <w:rPr>
          <w:noProof/>
        </w:rPr>
        <w:t xml:space="preserve">i ekonomického </w:t>
      </w:r>
      <w:r w:rsidRPr="00CB0646">
        <w:rPr>
          <w:noProof/>
        </w:rPr>
        <w:t>hodnocení</w:t>
      </w:r>
      <w:r w:rsidR="008E035E">
        <w:rPr>
          <w:noProof/>
        </w:rPr>
        <w:t xml:space="preserve"> souboru</w:t>
      </w:r>
      <w:r w:rsidRPr="00CB0646">
        <w:rPr>
          <w:noProof/>
        </w:rPr>
        <w:t xml:space="preserve"> stav</w:t>
      </w:r>
      <w:r w:rsidR="008E035E">
        <w:rPr>
          <w:noProof/>
        </w:rPr>
        <w:t>e</w:t>
      </w:r>
      <w:r w:rsidRPr="00CB0646">
        <w:rPr>
          <w:noProof/>
        </w:rPr>
        <w:t>b</w:t>
      </w:r>
      <w:r w:rsidR="008E035E">
        <w:rPr>
          <w:noProof/>
        </w:rPr>
        <w:t xml:space="preserve"> na trati Velký Osek – Chlumec nad Cidlinou – Hradec Králové – Týniště n. O. – Choceň</w:t>
      </w:r>
      <w:r w:rsidRPr="00CB0646">
        <w:rPr>
          <w:noProof/>
        </w:rPr>
        <w:t xml:space="preserve">, které bylo součástí </w:t>
      </w:r>
      <w:r w:rsidR="008E035E">
        <w:rPr>
          <w:noProof/>
        </w:rPr>
        <w:t>„S</w:t>
      </w:r>
      <w:r w:rsidR="003A6524">
        <w:rPr>
          <w:noProof/>
        </w:rPr>
        <w:t>tudie proveditelnosti</w:t>
      </w:r>
      <w:r w:rsidR="008E035E">
        <w:rPr>
          <w:noProof/>
        </w:rPr>
        <w:t xml:space="preserve"> trati Velký Osek – Hradec Králové – Choceň“ (dále „Podkladová SP“)</w:t>
      </w:r>
      <w:r w:rsidRPr="00CB0646">
        <w:rPr>
          <w:noProof/>
        </w:rPr>
        <w:t xml:space="preserve"> </w:t>
      </w:r>
      <w:r w:rsidR="00C301E3" w:rsidRPr="0007287C">
        <w:rPr>
          <w:noProof/>
        </w:rPr>
        <w:t>zpracov</w:t>
      </w:r>
      <w:r w:rsidR="008E035E">
        <w:rPr>
          <w:noProof/>
        </w:rPr>
        <w:t>a</w:t>
      </w:r>
      <w:r w:rsidR="00C301E3" w:rsidRPr="0007287C">
        <w:rPr>
          <w:noProof/>
        </w:rPr>
        <w:t>n</w:t>
      </w:r>
      <w:r w:rsidR="008E035E">
        <w:rPr>
          <w:noProof/>
        </w:rPr>
        <w:t>é</w:t>
      </w:r>
      <w:r w:rsidR="00CB0646" w:rsidRPr="0007287C">
        <w:rPr>
          <w:noProof/>
        </w:rPr>
        <w:t xml:space="preserve"> v </w:t>
      </w:r>
      <w:r w:rsidR="0007287C" w:rsidRPr="0007287C">
        <w:rPr>
          <w:noProof/>
        </w:rPr>
        <w:t>07</w:t>
      </w:r>
      <w:r w:rsidR="008E6BB6" w:rsidRPr="0007287C">
        <w:rPr>
          <w:noProof/>
        </w:rPr>
        <w:t>/201</w:t>
      </w:r>
      <w:r w:rsidR="0007287C" w:rsidRPr="0007287C">
        <w:rPr>
          <w:noProof/>
        </w:rPr>
        <w:t>5</w:t>
      </w:r>
      <w:r w:rsidR="008E035E">
        <w:rPr>
          <w:noProof/>
        </w:rPr>
        <w:t xml:space="preserve"> společností SUDOP PRAHA a. s. a schválené na jednání Centrální komise MD dne 1. 9. 2015 ve variantě A4+B4</w:t>
      </w:r>
      <w:r w:rsidR="00CB0646" w:rsidRPr="0007287C">
        <w:rPr>
          <w:noProof/>
        </w:rPr>
        <w:t>.</w:t>
      </w:r>
      <w:r w:rsidRPr="0007287C">
        <w:rPr>
          <w:noProof/>
        </w:rPr>
        <w:t xml:space="preserve"> </w:t>
      </w:r>
    </w:p>
    <w:p w14:paraId="7A8E40F5" w14:textId="3591C332" w:rsidR="00451255" w:rsidRDefault="00B741E3" w:rsidP="00955182">
      <w:pPr>
        <w:spacing w:after="120"/>
        <w:rPr>
          <w:noProof/>
        </w:rPr>
      </w:pPr>
      <w:r>
        <w:rPr>
          <w:noProof/>
        </w:rPr>
        <w:t>Aktualizace</w:t>
      </w:r>
      <w:r w:rsidR="00451255">
        <w:rPr>
          <w:noProof/>
        </w:rPr>
        <w:t xml:space="preserve"> </w:t>
      </w:r>
      <w:r>
        <w:rPr>
          <w:noProof/>
        </w:rPr>
        <w:t>e</w:t>
      </w:r>
      <w:r w:rsidR="00451255">
        <w:rPr>
          <w:noProof/>
        </w:rPr>
        <w:t>konomické</w:t>
      </w:r>
      <w:r>
        <w:rPr>
          <w:noProof/>
        </w:rPr>
        <w:t>ho</w:t>
      </w:r>
      <w:r w:rsidR="00BD2A11">
        <w:rPr>
          <w:noProof/>
        </w:rPr>
        <w:t xml:space="preserve"> hodnocení je zpracována</w:t>
      </w:r>
      <w:r w:rsidR="00451255">
        <w:rPr>
          <w:noProof/>
        </w:rPr>
        <w:t xml:space="preserve"> v souladu s Rezortní metodikou</w:t>
      </w:r>
      <w:r w:rsidR="00451255" w:rsidRPr="00AC58F8">
        <w:rPr>
          <w:noProof/>
        </w:rPr>
        <w:t xml:space="preserve"> pro hodnocení ekonomické efektivnosti projektů dopravních staveb</w:t>
      </w:r>
      <w:r w:rsidR="008E035E">
        <w:rPr>
          <w:noProof/>
        </w:rPr>
        <w:t xml:space="preserve">, </w:t>
      </w:r>
      <w:r w:rsidR="00451255" w:rsidRPr="00AC58F8">
        <w:rPr>
          <w:noProof/>
        </w:rPr>
        <w:t>schváleno</w:t>
      </w:r>
      <w:r w:rsidR="008E035E">
        <w:rPr>
          <w:noProof/>
        </w:rPr>
        <w:t>u</w:t>
      </w:r>
      <w:r w:rsidR="00451255" w:rsidRPr="00AC58F8">
        <w:rPr>
          <w:noProof/>
        </w:rPr>
        <w:t xml:space="preserve"> Ministerstvem dopravy dne 31. 10. 2017</w:t>
      </w:r>
      <w:r w:rsidR="00451255">
        <w:rPr>
          <w:noProof/>
        </w:rPr>
        <w:t>.</w:t>
      </w:r>
    </w:p>
    <w:p w14:paraId="3E5EF230" w14:textId="77777777" w:rsidR="008E035E" w:rsidRDefault="008E035E" w:rsidP="00955182">
      <w:pPr>
        <w:spacing w:after="120"/>
        <w:rPr>
          <w:noProof/>
        </w:rPr>
      </w:pPr>
      <w:r>
        <w:rPr>
          <w:noProof/>
        </w:rPr>
        <w:t>Ekonomické hodnocení zohledňuje postup projektové přípravy od schválení Podkladové SP. Jde zejména o tyto změny:</w:t>
      </w:r>
    </w:p>
    <w:p w14:paraId="5B7DE697" w14:textId="77777777" w:rsidR="002D4E59" w:rsidRDefault="002D4E59" w:rsidP="00563B6D">
      <w:pPr>
        <w:pStyle w:val="Odstavecseseznamem"/>
        <w:numPr>
          <w:ilvl w:val="0"/>
          <w:numId w:val="36"/>
        </w:numPr>
        <w:spacing w:after="120"/>
        <w:rPr>
          <w:noProof/>
        </w:rPr>
      </w:pPr>
      <w:r>
        <w:rPr>
          <w:noProof/>
        </w:rPr>
        <w:t>investiční náklady jednotlivých staveb odpovídají aktuálnímu stavu zpracování, tedy technologické stavby (TNS, DOZ, ETCS, GSM-R) ve stadiu 1, liniové infrastrukturní stavby ve stadiu 2;</w:t>
      </w:r>
    </w:p>
    <w:p w14:paraId="08040FD1" w14:textId="21E5693B" w:rsidR="008E035E" w:rsidRPr="00316858" w:rsidRDefault="008E035E" w:rsidP="00563B6D">
      <w:pPr>
        <w:pStyle w:val="Odstavecseseznamem"/>
        <w:numPr>
          <w:ilvl w:val="0"/>
          <w:numId w:val="36"/>
        </w:numPr>
        <w:spacing w:after="120"/>
        <w:rPr>
          <w:noProof/>
        </w:rPr>
      </w:pPr>
      <w:r>
        <w:rPr>
          <w:noProof/>
        </w:rPr>
        <w:t xml:space="preserve">hranicí úseku u žst. Velký Osek je </w:t>
      </w:r>
      <w:r w:rsidRPr="00316858">
        <w:rPr>
          <w:noProof/>
        </w:rPr>
        <w:t xml:space="preserve">nově km </w:t>
      </w:r>
      <w:r w:rsidR="002D4E59" w:rsidRPr="00316858">
        <w:rPr>
          <w:noProof/>
        </w:rPr>
        <w:t>4,1 v traťovém úseku Kanín – Dobšice n. C., z hodnoceného rozsahu tak byla vypuštěna Libická spojka (novostavba trati Kanín – Libice n. C.) včetně obvodu Kanín. Tato část infrastruktury se nově stala součástí stavby „Mode</w:t>
      </w:r>
      <w:r w:rsidR="00A666D8" w:rsidRPr="00316858">
        <w:rPr>
          <w:noProof/>
        </w:rPr>
        <w:t>rnizace traťového úseku Kolín (</w:t>
      </w:r>
      <w:r w:rsidR="002D4E59" w:rsidRPr="00316858">
        <w:rPr>
          <w:noProof/>
        </w:rPr>
        <w:t>mimo) – odb. Babín (mimo), vč. Libické spojky“, zahrnuté do „Aktualizace studie proveditelnosti optimalizace trati Kolín – Všetaty – Děčín“;</w:t>
      </w:r>
    </w:p>
    <w:p w14:paraId="1EDF7A0D" w14:textId="6492D6D9" w:rsidR="002D4E59" w:rsidRDefault="002D4E59" w:rsidP="00563B6D">
      <w:pPr>
        <w:pStyle w:val="Odstavecseseznamem"/>
        <w:numPr>
          <w:ilvl w:val="0"/>
          <w:numId w:val="36"/>
        </w:numPr>
        <w:spacing w:after="120"/>
        <w:rPr>
          <w:noProof/>
        </w:rPr>
      </w:pPr>
      <w:r w:rsidRPr="00316858">
        <w:rPr>
          <w:noProof/>
        </w:rPr>
        <w:t xml:space="preserve">úsek Kanín – Chlumec n. C. byl pro účely dokumetnace EIA zpracován v podrobnosti DÚR variantně, a to ve variantě A4 s parametry podle Podkladové </w:t>
      </w:r>
      <w:r>
        <w:rPr>
          <w:noProof/>
        </w:rPr>
        <w:t>SP s rychlostními omezeními do 100 km/h a dále ve variantě A5 s vyšším rozsahem přeložek trati a se snížením sklonu pro usnadnění podmínek nákladní dopravy. Do této aktualizace EH vstupuje varianta A5, protože tato varianta vzešla jako výhodnější z posouzení EIA a</w:t>
      </w:r>
      <w:r w:rsidR="000274D4">
        <w:rPr>
          <w:noProof/>
        </w:rPr>
        <w:t> </w:t>
      </w:r>
      <w:r>
        <w:rPr>
          <w:noProof/>
        </w:rPr>
        <w:t>lépe plní cíle stavby, zejména dosahuje nižších provozních nákladů pro nákladní dopravu a kratších cestovních časů v osobní dopravě;</w:t>
      </w:r>
    </w:p>
    <w:p w14:paraId="7E5A163E" w14:textId="05F69FF8" w:rsidR="002D4E59" w:rsidRDefault="002D4E59" w:rsidP="00563B6D">
      <w:pPr>
        <w:pStyle w:val="Odstavecseseznamem"/>
        <w:numPr>
          <w:ilvl w:val="0"/>
          <w:numId w:val="36"/>
        </w:numPr>
        <w:spacing w:after="120"/>
        <w:rPr>
          <w:noProof/>
        </w:rPr>
      </w:pPr>
      <w:r>
        <w:rPr>
          <w:noProof/>
        </w:rPr>
        <w:t>v žst. Hradec Králové hl. n. zůstalo zachováno rozdělení nákladů a přínosů mezi ramena Velký Osek – Hradec Králové – Choceň a Pardubice – Hradec Králové</w:t>
      </w:r>
      <w:r w:rsidR="00EC6CD9">
        <w:rPr>
          <w:noProof/>
        </w:rPr>
        <w:t>, ale rozsah úprav této stanice se rozšířil v nákladní části</w:t>
      </w:r>
      <w:r>
        <w:rPr>
          <w:noProof/>
        </w:rPr>
        <w:t>;</w:t>
      </w:r>
    </w:p>
    <w:p w14:paraId="61143A56" w14:textId="77777777" w:rsidR="002D4E59" w:rsidRDefault="002D4E59" w:rsidP="00563B6D">
      <w:pPr>
        <w:pStyle w:val="Odstavecseseznamem"/>
        <w:numPr>
          <w:ilvl w:val="0"/>
          <w:numId w:val="36"/>
        </w:numPr>
        <w:spacing w:after="120"/>
        <w:rPr>
          <w:noProof/>
        </w:rPr>
      </w:pPr>
      <w:r>
        <w:rPr>
          <w:noProof/>
        </w:rPr>
        <w:t>žst. Týniště n. O. byla celá vyjmuta z tohoto ekonomického hodnocení, protože v současné době je svými náklady a přínosy zahrnuta do ramene Týniště n. O. – Solnice;</w:t>
      </w:r>
    </w:p>
    <w:p w14:paraId="600EF225" w14:textId="77777777" w:rsidR="0059045A" w:rsidRDefault="0059045A" w:rsidP="00563B6D">
      <w:pPr>
        <w:pStyle w:val="Odstavecseseznamem"/>
        <w:numPr>
          <w:ilvl w:val="0"/>
          <w:numId w:val="36"/>
        </w:numPr>
        <w:spacing w:after="120"/>
        <w:rPr>
          <w:noProof/>
        </w:rPr>
      </w:pPr>
      <w:r>
        <w:rPr>
          <w:noProof/>
        </w:rPr>
        <w:t xml:space="preserve">do jednotlivých staveb byly zahrnuty náhrady železničních přejezdů a jejich náhrady mimoúrovňovými kříženími v těch případech, kdy taková náhrada je odůvodněná. Jde o případy, kdy přejezd není možné zachovat z důvodu platných norem (např. přejezd ve stanici přes staniční koleje), přejezdy nezachovatelné z důvodu změny polohy trati (např. při zahloubení trati), </w:t>
      </w:r>
      <w:r w:rsidR="00FB246E">
        <w:rPr>
          <w:noProof/>
        </w:rPr>
        <w:t>a přejezdy s frekvencí, na nichž přínosy z náhrady převyšují příslušné investiční náklady;</w:t>
      </w:r>
    </w:p>
    <w:p w14:paraId="386C6DC7" w14:textId="77777777" w:rsidR="00FB246E" w:rsidRDefault="00FB246E" w:rsidP="00563B6D">
      <w:pPr>
        <w:pStyle w:val="Odstavecseseznamem"/>
        <w:numPr>
          <w:ilvl w:val="0"/>
          <w:numId w:val="36"/>
        </w:numPr>
        <w:spacing w:after="120"/>
        <w:rPr>
          <w:noProof/>
        </w:rPr>
      </w:pPr>
      <w:r>
        <w:rPr>
          <w:noProof/>
        </w:rPr>
        <w:t>další drobnější dílčí změny jsou uvedeny níže v textu.</w:t>
      </w:r>
    </w:p>
    <w:p w14:paraId="32BC3A32" w14:textId="33FA2065" w:rsidR="008E6BB6" w:rsidRDefault="008E6BB6" w:rsidP="00955182">
      <w:pPr>
        <w:spacing w:after="120"/>
        <w:rPr>
          <w:noProof/>
        </w:rPr>
      </w:pPr>
      <w:r>
        <w:rPr>
          <w:noProof/>
        </w:rPr>
        <w:t>Ostatní předpoklady a vst</w:t>
      </w:r>
      <w:r w:rsidR="00A64FCE">
        <w:rPr>
          <w:noProof/>
        </w:rPr>
        <w:t>upy byly převzaty z původního</w:t>
      </w:r>
      <w:r w:rsidRPr="00CB0646">
        <w:rPr>
          <w:noProof/>
        </w:rPr>
        <w:t xml:space="preserve"> ekonomického hodnocení </w:t>
      </w:r>
      <w:r w:rsidRPr="0007287C">
        <w:rPr>
          <w:noProof/>
        </w:rPr>
        <w:t>z</w:t>
      </w:r>
      <w:r w:rsidR="00CB0646" w:rsidRPr="0007287C">
        <w:rPr>
          <w:noProof/>
        </w:rPr>
        <w:t> </w:t>
      </w:r>
      <w:r w:rsidR="0007287C" w:rsidRPr="0007287C">
        <w:rPr>
          <w:noProof/>
        </w:rPr>
        <w:t>07/2015</w:t>
      </w:r>
      <w:r w:rsidR="003A6524">
        <w:rPr>
          <w:noProof/>
        </w:rPr>
        <w:t>.</w:t>
      </w:r>
      <w:r w:rsidR="00BD75A6" w:rsidRPr="003A6524">
        <w:rPr>
          <w:noProof/>
        </w:rPr>
        <w:t xml:space="preserve"> </w:t>
      </w:r>
    </w:p>
    <w:p w14:paraId="7A114DE7" w14:textId="77777777" w:rsidR="00B34E92" w:rsidRPr="00331E6D" w:rsidRDefault="00451255" w:rsidP="00B34E92">
      <w:pPr>
        <w:pStyle w:val="Nadpis1"/>
      </w:pPr>
      <w:bookmarkStart w:id="4" w:name="_Toc97713483"/>
      <w:r>
        <w:t>Přehled změn</w:t>
      </w:r>
      <w:bookmarkEnd w:id="4"/>
    </w:p>
    <w:p w14:paraId="04E68A89" w14:textId="77777777" w:rsidR="00B34E92" w:rsidRPr="00331E6D" w:rsidRDefault="00451255" w:rsidP="00B34E92">
      <w:pPr>
        <w:pStyle w:val="Nadpis2"/>
      </w:pPr>
      <w:bookmarkStart w:id="5" w:name="_Toc97713484"/>
      <w:r>
        <w:t>Investiční náklady</w:t>
      </w:r>
      <w:bookmarkEnd w:id="5"/>
    </w:p>
    <w:p w14:paraId="1B5D67BD" w14:textId="711388FA" w:rsidR="00FB74A4" w:rsidRDefault="00451255" w:rsidP="00451255">
      <w:r>
        <w:t>Celkové investiční náklady</w:t>
      </w:r>
      <w:r w:rsidR="0076084B">
        <w:t xml:space="preserve"> jsou zpracovány</w:t>
      </w:r>
      <w:r w:rsidR="00FB246E">
        <w:t xml:space="preserve"> u liniových infrastrukturních staveb</w:t>
      </w:r>
      <w:r w:rsidR="0076084B">
        <w:t xml:space="preserve"> na základě rozpočtů dílčích staveb ve stádiu 2</w:t>
      </w:r>
      <w:r w:rsidR="00FB74A4" w:rsidRPr="00263B0D">
        <w:t>, tj.</w:t>
      </w:r>
      <w:r w:rsidR="00077F33" w:rsidRPr="00263B0D">
        <w:t> </w:t>
      </w:r>
      <w:r w:rsidR="0097747F" w:rsidRPr="00BD2EBB">
        <w:t>dokumentace pro územní řízení</w:t>
      </w:r>
      <w:r>
        <w:t>,</w:t>
      </w:r>
      <w:r w:rsidR="00FB74A4">
        <w:t xml:space="preserve"> a to</w:t>
      </w:r>
      <w:r w:rsidRPr="002620C6">
        <w:t xml:space="preserve"> ve </w:t>
      </w:r>
      <w:r w:rsidRPr="0007287C">
        <w:t xml:space="preserve">výši </w:t>
      </w:r>
      <w:r w:rsidR="00932C4B">
        <w:rPr>
          <w:b/>
        </w:rPr>
        <w:t>37</w:t>
      </w:r>
      <w:r w:rsidR="00FB246E">
        <w:rPr>
          <w:b/>
        </w:rPr>
        <w:t> </w:t>
      </w:r>
      <w:r w:rsidR="00932C4B">
        <w:rPr>
          <w:b/>
        </w:rPr>
        <w:t>432</w:t>
      </w:r>
      <w:r w:rsidR="00FB246E">
        <w:rPr>
          <w:b/>
        </w:rPr>
        <w:t> </w:t>
      </w:r>
      <w:r w:rsidR="00932C4B">
        <w:rPr>
          <w:b/>
        </w:rPr>
        <w:t>065</w:t>
      </w:r>
      <w:r w:rsidR="007C5120" w:rsidRPr="0007287C">
        <w:rPr>
          <w:b/>
        </w:rPr>
        <w:t xml:space="preserve"> </w:t>
      </w:r>
      <w:r w:rsidR="00932C4B">
        <w:rPr>
          <w:b/>
        </w:rPr>
        <w:t>498</w:t>
      </w:r>
      <w:r w:rsidRPr="0007287C">
        <w:rPr>
          <w:b/>
        </w:rPr>
        <w:t> Kč</w:t>
      </w:r>
      <w:r w:rsidR="006619D9" w:rsidRPr="0007287C">
        <w:t xml:space="preserve"> </w:t>
      </w:r>
      <w:r w:rsidRPr="0007287C">
        <w:t>ve smíšené CÚ</w:t>
      </w:r>
      <w:r w:rsidRPr="00263B0D">
        <w:t xml:space="preserve">. </w:t>
      </w:r>
      <w:r w:rsidR="00932C4B">
        <w:t>R</w:t>
      </w:r>
      <w:r w:rsidR="001B40BD">
        <w:t>ozpočty pro</w:t>
      </w:r>
      <w:r w:rsidR="001B40BD" w:rsidRPr="001B40BD">
        <w:t xml:space="preserve"> </w:t>
      </w:r>
      <w:r w:rsidR="001B40BD">
        <w:t>TNS, ETCS, GSM-R, DOZ</w:t>
      </w:r>
      <w:r w:rsidR="00932C4B">
        <w:t xml:space="preserve"> </w:t>
      </w:r>
      <w:r w:rsidR="006619D9">
        <w:t>byly</w:t>
      </w:r>
      <w:r w:rsidR="001B40BD">
        <w:t xml:space="preserve"> </w:t>
      </w:r>
      <w:r w:rsidR="004E385A">
        <w:t>odborně</w:t>
      </w:r>
      <w:r w:rsidR="001B40BD">
        <w:t xml:space="preserve"> </w:t>
      </w:r>
      <w:r w:rsidR="004E385A">
        <w:t>odhadnuty</w:t>
      </w:r>
      <w:r w:rsidR="00EC6CD9">
        <w:t xml:space="preserve"> na podkladu ceníku SPOŽES 2019</w:t>
      </w:r>
      <w:r w:rsidR="004E385A">
        <w:t>.</w:t>
      </w:r>
      <w:r w:rsidR="001B40BD">
        <w:t xml:space="preserve"> </w:t>
      </w:r>
      <w:r w:rsidR="00FB61BF" w:rsidRPr="00263B0D">
        <w:t xml:space="preserve">Pro účely </w:t>
      </w:r>
      <w:r w:rsidR="003A7D6C" w:rsidRPr="00263B0D">
        <w:t>CBA</w:t>
      </w:r>
      <w:r w:rsidR="00FB61BF" w:rsidRPr="00263B0D">
        <w:t xml:space="preserve"> byly </w:t>
      </w:r>
      <w:r w:rsidR="006619D9">
        <w:t xml:space="preserve">všechny </w:t>
      </w:r>
      <w:r w:rsidR="003A7D6C" w:rsidRPr="00263B0D">
        <w:t>i</w:t>
      </w:r>
      <w:r w:rsidR="00FB61BF" w:rsidRPr="00263B0D">
        <w:t>nvestiční náklady pře</w:t>
      </w:r>
      <w:r w:rsidR="006619D9">
        <w:t>vedeny</w:t>
      </w:r>
      <w:r w:rsidR="00FB61BF" w:rsidRPr="00263B0D">
        <w:t xml:space="preserve"> na CÚ 2020 a jejich výše je</w:t>
      </w:r>
      <w:r w:rsidR="00FB61BF" w:rsidRPr="00290D3D">
        <w:rPr>
          <w:color w:val="FF0000"/>
        </w:rPr>
        <w:t xml:space="preserve"> </w:t>
      </w:r>
      <w:r w:rsidR="002A00DF" w:rsidRPr="002A00DF">
        <w:rPr>
          <w:b/>
        </w:rPr>
        <w:t>30</w:t>
      </w:r>
      <w:r w:rsidR="00297F28" w:rsidRPr="002A00DF">
        <w:rPr>
          <w:b/>
        </w:rPr>
        <w:t> 3</w:t>
      </w:r>
      <w:r w:rsidR="002A00DF" w:rsidRPr="002A00DF">
        <w:rPr>
          <w:b/>
        </w:rPr>
        <w:t>55</w:t>
      </w:r>
      <w:r w:rsidR="00297F28" w:rsidRPr="002A00DF">
        <w:rPr>
          <w:b/>
        </w:rPr>
        <w:t> </w:t>
      </w:r>
      <w:r w:rsidR="002A00DF" w:rsidRPr="002A00DF">
        <w:rPr>
          <w:b/>
        </w:rPr>
        <w:t>703</w:t>
      </w:r>
      <w:r w:rsidR="009C3699" w:rsidRPr="002A00DF">
        <w:rPr>
          <w:b/>
        </w:rPr>
        <w:t xml:space="preserve"> </w:t>
      </w:r>
      <w:r w:rsidR="002A00DF" w:rsidRPr="002A00DF">
        <w:rPr>
          <w:b/>
        </w:rPr>
        <w:t>575</w:t>
      </w:r>
      <w:r w:rsidR="00FB61BF" w:rsidRPr="002A00DF">
        <w:rPr>
          <w:b/>
        </w:rPr>
        <w:t xml:space="preserve"> Kč</w:t>
      </w:r>
      <w:r w:rsidR="00FB61BF" w:rsidRPr="002A00DF">
        <w:t>.</w:t>
      </w:r>
    </w:p>
    <w:p w14:paraId="69617973" w14:textId="141F4206" w:rsidR="00B67125" w:rsidRDefault="00B67125" w:rsidP="00B67125">
      <w:pPr>
        <w:pStyle w:val="Titulek"/>
        <w:keepNext/>
        <w:keepLines/>
        <w:jc w:val="center"/>
      </w:pPr>
      <w:r>
        <w:lastRenderedPageBreak/>
        <w:t xml:space="preserve">Tabulka </w:t>
      </w:r>
      <w:fldSimple w:instr=" SEQ Tabulka \* ARABIC ">
        <w:r w:rsidR="00253D6E">
          <w:rPr>
            <w:noProof/>
          </w:rPr>
          <w:t>1</w:t>
        </w:r>
      </w:fldSimple>
      <w:r>
        <w:t>: Přehled rozpočtů investičních nákladů (CÚ 2020) jednotlivých staveb a</w:t>
      </w:r>
      <w:r w:rsidR="000274D4">
        <w:t> </w:t>
      </w:r>
      <w:r>
        <w:t>jejich předpokládaná doba realizace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6065"/>
        <w:gridCol w:w="1391"/>
        <w:gridCol w:w="1218"/>
      </w:tblGrid>
      <w:tr w:rsidR="00B67125" w:rsidRPr="00331E6D" w14:paraId="3B04234E" w14:textId="77777777" w:rsidTr="00B671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5B7D2F08" w14:textId="77777777" w:rsidR="00B67125" w:rsidRPr="00331E6D" w:rsidRDefault="00B67125" w:rsidP="008802B0">
            <w:pPr>
              <w:keepNext/>
              <w:keepLines/>
            </w:pPr>
            <w:r w:rsidRPr="00B67125">
              <w:t>Název akce</w:t>
            </w:r>
          </w:p>
        </w:tc>
        <w:tc>
          <w:tcPr>
            <w:tcW w:w="802" w:type="pct"/>
          </w:tcPr>
          <w:p w14:paraId="6C822237" w14:textId="77777777" w:rsidR="00B67125" w:rsidRPr="00331E6D" w:rsidRDefault="00B67125" w:rsidP="00B67125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67125">
              <w:t>Rozpočet v CÚ 2020</w:t>
            </w:r>
          </w:p>
        </w:tc>
        <w:tc>
          <w:tcPr>
            <w:tcW w:w="702" w:type="pct"/>
            <w:vAlign w:val="center"/>
          </w:tcPr>
          <w:p w14:paraId="57678FCA" w14:textId="77777777" w:rsidR="00B67125" w:rsidRPr="00331E6D" w:rsidRDefault="00B67125" w:rsidP="00B67125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67125">
              <w:t>Předpokládaná doba realizace</w:t>
            </w:r>
          </w:p>
        </w:tc>
      </w:tr>
      <w:tr w:rsidR="00B67125" w:rsidRPr="00331E6D" w14:paraId="14DBEE5E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28CB48E5" w14:textId="77777777" w:rsidR="00B67125" w:rsidRPr="00526CAF" w:rsidRDefault="00B67125" w:rsidP="00B67125">
            <w:r w:rsidRPr="00526CAF">
              <w:t xml:space="preserve">Modernizace traťového úseku </w:t>
            </w:r>
            <w:proofErr w:type="spellStart"/>
            <w:r w:rsidRPr="00526CAF">
              <w:t>odb</w:t>
            </w:r>
            <w:proofErr w:type="spellEnd"/>
            <w:r w:rsidRPr="00526CAF">
              <w:t xml:space="preserve">. </w:t>
            </w:r>
            <w:proofErr w:type="spellStart"/>
            <w:r w:rsidRPr="00526CAF">
              <w:t>Kanín</w:t>
            </w:r>
            <w:proofErr w:type="spellEnd"/>
            <w:r w:rsidRPr="00526CAF">
              <w:t xml:space="preserve"> - Chlumec nad Cidlinou</w:t>
            </w:r>
            <w:r w:rsidR="008E035E">
              <w:t xml:space="preserve"> </w:t>
            </w:r>
            <w:r w:rsidRPr="00526CAF">
              <w:t>(včetně)</w:t>
            </w:r>
          </w:p>
        </w:tc>
        <w:tc>
          <w:tcPr>
            <w:tcW w:w="802" w:type="pct"/>
          </w:tcPr>
          <w:p w14:paraId="19B83FB4" w14:textId="77777777" w:rsidR="00B67125" w:rsidRPr="00AF4632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7 311 502 700</w:t>
            </w:r>
          </w:p>
        </w:tc>
        <w:tc>
          <w:tcPr>
            <w:tcW w:w="702" w:type="pct"/>
          </w:tcPr>
          <w:p w14:paraId="4C708CF2" w14:textId="77777777" w:rsidR="00B67125" w:rsidRPr="00616666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2023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2029</w:t>
            </w:r>
          </w:p>
        </w:tc>
      </w:tr>
      <w:tr w:rsidR="00B67125" w:rsidRPr="00331E6D" w14:paraId="6A87FC2D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54544671" w14:textId="157AD715" w:rsidR="00B67125" w:rsidRPr="00526CAF" w:rsidRDefault="008E035E" w:rsidP="00B67125">
            <w:r>
              <w:t xml:space="preserve">TNS </w:t>
            </w:r>
            <w:r w:rsidR="00B67125" w:rsidRPr="00526CAF">
              <w:t>Dobšice nad Cidlinou</w:t>
            </w:r>
          </w:p>
        </w:tc>
        <w:tc>
          <w:tcPr>
            <w:tcW w:w="802" w:type="pct"/>
          </w:tcPr>
          <w:p w14:paraId="401F4307" w14:textId="77777777" w:rsidR="00B67125" w:rsidRPr="00AF4632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550 000 000</w:t>
            </w:r>
          </w:p>
        </w:tc>
        <w:tc>
          <w:tcPr>
            <w:tcW w:w="702" w:type="pct"/>
          </w:tcPr>
          <w:p w14:paraId="0A5B458E" w14:textId="77777777" w:rsidR="00B67125" w:rsidRPr="00616666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2026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2028</w:t>
            </w:r>
          </w:p>
        </w:tc>
      </w:tr>
      <w:tr w:rsidR="00B67125" w:rsidRPr="00331E6D" w14:paraId="63111D67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7DE22EE6" w14:textId="77777777" w:rsidR="00B67125" w:rsidRPr="00526CAF" w:rsidRDefault="00B67125" w:rsidP="00B67125">
            <w:r w:rsidRPr="00526CAF">
              <w:t>Modernizace traťového úseku Chlumec nad Cidlinou (mimo) - Hradec Králové (mimo)</w:t>
            </w:r>
          </w:p>
        </w:tc>
        <w:tc>
          <w:tcPr>
            <w:tcW w:w="802" w:type="pct"/>
          </w:tcPr>
          <w:p w14:paraId="692E249D" w14:textId="77777777" w:rsidR="00B67125" w:rsidRPr="00AF4632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7 522 406 005</w:t>
            </w:r>
          </w:p>
        </w:tc>
        <w:tc>
          <w:tcPr>
            <w:tcW w:w="702" w:type="pct"/>
          </w:tcPr>
          <w:p w14:paraId="2A3F8D01" w14:textId="77777777" w:rsidR="00B67125" w:rsidRPr="00616666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2023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2029</w:t>
            </w:r>
          </w:p>
        </w:tc>
      </w:tr>
      <w:tr w:rsidR="00B67125" w:rsidRPr="00331E6D" w14:paraId="74CFD040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22A1E18B" w14:textId="249A08A3" w:rsidR="00B67125" w:rsidRPr="00526CAF" w:rsidRDefault="008E035E" w:rsidP="008E035E">
            <w:r>
              <w:t xml:space="preserve">TNS </w:t>
            </w:r>
            <w:r w:rsidR="00B67125" w:rsidRPr="00526CAF">
              <w:t>Káranice</w:t>
            </w:r>
          </w:p>
        </w:tc>
        <w:tc>
          <w:tcPr>
            <w:tcW w:w="802" w:type="pct"/>
          </w:tcPr>
          <w:p w14:paraId="37566544" w14:textId="77777777" w:rsidR="00B67125" w:rsidRPr="00AF4632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550 000 000</w:t>
            </w:r>
          </w:p>
        </w:tc>
        <w:tc>
          <w:tcPr>
            <w:tcW w:w="702" w:type="pct"/>
          </w:tcPr>
          <w:p w14:paraId="0877BE65" w14:textId="77777777" w:rsidR="00B67125" w:rsidRPr="00616666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2026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2028</w:t>
            </w:r>
          </w:p>
        </w:tc>
      </w:tr>
      <w:tr w:rsidR="00B67125" w:rsidRPr="00331E6D" w14:paraId="12DD0107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637523DB" w14:textId="77777777" w:rsidR="00B67125" w:rsidRPr="00526CAF" w:rsidRDefault="00B67125" w:rsidP="00B67125">
            <w:r w:rsidRPr="00526CAF">
              <w:t xml:space="preserve">Modernizace trati Hradec </w:t>
            </w:r>
            <w:proofErr w:type="gramStart"/>
            <w:r w:rsidRPr="00526CAF">
              <w:t>Králové - Pardubice</w:t>
            </w:r>
            <w:proofErr w:type="gramEnd"/>
            <w:r w:rsidRPr="00526CAF">
              <w:t xml:space="preserve"> - Chrudim, 2.stavba, </w:t>
            </w:r>
            <w:proofErr w:type="spellStart"/>
            <w:r w:rsidRPr="00526CAF">
              <w:t>zdvoukolejnění</w:t>
            </w:r>
            <w:proofErr w:type="spellEnd"/>
            <w:r w:rsidRPr="00526CAF">
              <w:t xml:space="preserve"> Opatovice nad Labem - Hradec Králové, 1. etapa, ŽST Hradec Králové hl. n., část dle Studie proveditelnosti Velký Osek - Hradec Králové - Choceň</w:t>
            </w:r>
          </w:p>
        </w:tc>
        <w:tc>
          <w:tcPr>
            <w:tcW w:w="802" w:type="pct"/>
          </w:tcPr>
          <w:p w14:paraId="1FED6519" w14:textId="77777777" w:rsidR="00B67125" w:rsidRPr="00AF4632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1 544 605 797</w:t>
            </w:r>
          </w:p>
        </w:tc>
        <w:tc>
          <w:tcPr>
            <w:tcW w:w="702" w:type="pct"/>
          </w:tcPr>
          <w:p w14:paraId="714C3011" w14:textId="77777777" w:rsidR="00B67125" w:rsidRPr="00616666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2023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2027</w:t>
            </w:r>
          </w:p>
        </w:tc>
      </w:tr>
      <w:tr w:rsidR="00B67125" w:rsidRPr="00331E6D" w14:paraId="6329D9F8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437D1EF8" w14:textId="77777777" w:rsidR="00B67125" w:rsidRPr="00526CAF" w:rsidRDefault="00B67125" w:rsidP="00B67125">
            <w:r w:rsidRPr="00526CAF">
              <w:t>Modernizace traťového úseku Hradec Králové (mimo) - Týniště nad Orlicí (mimo)</w:t>
            </w:r>
          </w:p>
        </w:tc>
        <w:tc>
          <w:tcPr>
            <w:tcW w:w="802" w:type="pct"/>
          </w:tcPr>
          <w:p w14:paraId="3219D720" w14:textId="77777777" w:rsidR="00B67125" w:rsidRPr="00AF4632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4 861 703 918</w:t>
            </w:r>
          </w:p>
        </w:tc>
        <w:tc>
          <w:tcPr>
            <w:tcW w:w="702" w:type="pct"/>
          </w:tcPr>
          <w:p w14:paraId="245EC7F5" w14:textId="77777777" w:rsidR="00B67125" w:rsidRPr="00616666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2023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2028</w:t>
            </w:r>
          </w:p>
        </w:tc>
      </w:tr>
      <w:tr w:rsidR="00B67125" w:rsidRPr="00D749D3" w14:paraId="6E3FA9D0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579BE25F" w14:textId="51D2EFAF" w:rsidR="00B67125" w:rsidRPr="00526CAF" w:rsidRDefault="00B67125" w:rsidP="00F32207">
            <w:r w:rsidRPr="00526CAF">
              <w:t>TNS Týniště nad Orlicí</w:t>
            </w:r>
          </w:p>
        </w:tc>
        <w:tc>
          <w:tcPr>
            <w:tcW w:w="802" w:type="pct"/>
          </w:tcPr>
          <w:p w14:paraId="12484A34" w14:textId="77777777" w:rsidR="00B67125" w:rsidRPr="00AF4632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400 000 000</w:t>
            </w:r>
          </w:p>
        </w:tc>
        <w:tc>
          <w:tcPr>
            <w:tcW w:w="702" w:type="pct"/>
          </w:tcPr>
          <w:p w14:paraId="7A5371BF" w14:textId="77777777" w:rsidR="00B67125" w:rsidRPr="00616666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2026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2028</w:t>
            </w:r>
          </w:p>
        </w:tc>
      </w:tr>
      <w:tr w:rsidR="00B67125" w:rsidRPr="00331E6D" w14:paraId="46C0E09E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1B629377" w14:textId="77777777" w:rsidR="00B67125" w:rsidRPr="00526CAF" w:rsidRDefault="00B67125" w:rsidP="00B67125">
            <w:r w:rsidRPr="00526CAF">
              <w:t>Modernizace traťového úseku Týniště nad Orlicí (mimo) - Choceň</w:t>
            </w:r>
          </w:p>
        </w:tc>
        <w:tc>
          <w:tcPr>
            <w:tcW w:w="802" w:type="pct"/>
          </w:tcPr>
          <w:p w14:paraId="2FBFFC4C" w14:textId="77777777" w:rsidR="00B67125" w:rsidRPr="00AF4632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6 615 485 154</w:t>
            </w:r>
          </w:p>
        </w:tc>
        <w:tc>
          <w:tcPr>
            <w:tcW w:w="702" w:type="pct"/>
          </w:tcPr>
          <w:p w14:paraId="733EAEB2" w14:textId="77777777" w:rsidR="00B67125" w:rsidRPr="00616666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2023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2028</w:t>
            </w:r>
          </w:p>
        </w:tc>
      </w:tr>
      <w:tr w:rsidR="00B67125" w:rsidRPr="00D749D3" w14:paraId="5647EB26" w14:textId="77777777" w:rsidTr="00B671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6" w:type="pct"/>
          </w:tcPr>
          <w:p w14:paraId="7075F446" w14:textId="77777777" w:rsidR="00B67125" w:rsidRDefault="00B67125" w:rsidP="00B67125">
            <w:r w:rsidRPr="00526CAF">
              <w:t>DOZ, ETCS, GSM-R</w:t>
            </w:r>
          </w:p>
        </w:tc>
        <w:tc>
          <w:tcPr>
            <w:tcW w:w="802" w:type="pct"/>
          </w:tcPr>
          <w:p w14:paraId="78290A54" w14:textId="77777777" w:rsidR="00B67125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4632">
              <w:t>1 000 000 000</w:t>
            </w:r>
          </w:p>
        </w:tc>
        <w:tc>
          <w:tcPr>
            <w:tcW w:w="702" w:type="pct"/>
          </w:tcPr>
          <w:p w14:paraId="597E1DBE" w14:textId="77777777" w:rsidR="00B67125" w:rsidRDefault="00B67125" w:rsidP="00B671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6666">
              <w:t>2026</w:t>
            </w:r>
            <w:r w:rsidR="00BA476F">
              <w:t xml:space="preserve"> </w:t>
            </w:r>
            <w:r w:rsidRPr="00616666">
              <w:t>-</w:t>
            </w:r>
            <w:r w:rsidR="00BA476F">
              <w:t xml:space="preserve"> </w:t>
            </w:r>
            <w:r w:rsidRPr="00616666">
              <w:t>2028</w:t>
            </w:r>
          </w:p>
        </w:tc>
      </w:tr>
    </w:tbl>
    <w:p w14:paraId="2014E494" w14:textId="77777777" w:rsidR="00B67125" w:rsidRPr="00290D3D" w:rsidRDefault="00B67125" w:rsidP="00B67125">
      <w:pPr>
        <w:jc w:val="center"/>
        <w:rPr>
          <w:color w:val="FF0000"/>
        </w:rPr>
      </w:pPr>
    </w:p>
    <w:p w14:paraId="5C91B816" w14:textId="77777777" w:rsidR="00451255" w:rsidRDefault="00451255" w:rsidP="00451255">
      <w:r w:rsidRPr="00716D22">
        <w:t xml:space="preserve">V souvislosti se změnou </w:t>
      </w:r>
      <w:r>
        <w:t>investičních nákladů</w:t>
      </w:r>
      <w:r w:rsidRPr="00716D22">
        <w:t xml:space="preserve"> došlo k</w:t>
      </w:r>
      <w:r w:rsidR="00FB74A4">
        <w:t> </w:t>
      </w:r>
      <w:r w:rsidRPr="00716D22">
        <w:t>aktualizaci</w:t>
      </w:r>
      <w:r w:rsidR="00FB74A4">
        <w:t xml:space="preserve"> výše</w:t>
      </w:r>
      <w:r w:rsidRPr="00716D22">
        <w:t xml:space="preserve"> </w:t>
      </w:r>
      <w:r>
        <w:t>zůstatkové hodnoty</w:t>
      </w:r>
      <w:r w:rsidR="008374A5">
        <w:t xml:space="preserve"> – konkrétní výpočty jsou uvedeny v přiložených CBA tabulkách</w:t>
      </w:r>
      <w:r>
        <w:t>.</w:t>
      </w:r>
    </w:p>
    <w:p w14:paraId="5D501848" w14:textId="77777777" w:rsidR="00B34E92" w:rsidRDefault="00451255" w:rsidP="00B34E92">
      <w:pPr>
        <w:pStyle w:val="Nadpis2"/>
      </w:pPr>
      <w:bookmarkStart w:id="6" w:name="_Toc97713485"/>
      <w:r>
        <w:t>Cenová úroveň</w:t>
      </w:r>
      <w:bookmarkEnd w:id="6"/>
    </w:p>
    <w:p w14:paraId="64C05866" w14:textId="77777777" w:rsidR="00451255" w:rsidRDefault="008374A5" w:rsidP="00451255">
      <w:r>
        <w:t xml:space="preserve">Cenová úroveň všech vstupů do CBA byla aktualizována </w:t>
      </w:r>
      <w:r w:rsidR="00451255">
        <w:t>na CÚ 2020</w:t>
      </w:r>
      <w:r w:rsidR="00451255" w:rsidRPr="001D1DF2">
        <w:t xml:space="preserve">. </w:t>
      </w:r>
    </w:p>
    <w:p w14:paraId="420C1D84" w14:textId="77777777" w:rsidR="00026BEA" w:rsidRDefault="00026BEA" w:rsidP="00026BEA">
      <w:pPr>
        <w:pStyle w:val="Nadpis2"/>
      </w:pPr>
      <w:bookmarkStart w:id="7" w:name="_Toc97713486"/>
      <w:r>
        <w:t>Nové CBA tabulky</w:t>
      </w:r>
      <w:bookmarkEnd w:id="7"/>
    </w:p>
    <w:p w14:paraId="65D53056" w14:textId="77777777" w:rsidR="00026BEA" w:rsidRDefault="00026BEA" w:rsidP="00451255">
      <w:r>
        <w:t xml:space="preserve">Při aktualizaci CBA byla použita </w:t>
      </w:r>
      <w:r w:rsidR="008374A5">
        <w:t>aktuáln</w:t>
      </w:r>
      <w:r w:rsidR="00886B8E">
        <w:t>ě</w:t>
      </w:r>
      <w:r w:rsidR="008374A5">
        <w:t xml:space="preserve"> platná </w:t>
      </w:r>
      <w:r>
        <w:t xml:space="preserve">verze CBA tabulek, verze </w:t>
      </w:r>
      <w:r w:rsidRPr="003A6524">
        <w:t>1.08.</w:t>
      </w:r>
    </w:p>
    <w:p w14:paraId="3EAC35D9" w14:textId="77777777" w:rsidR="006D5700" w:rsidRPr="00026BEA" w:rsidRDefault="00026BEA" w:rsidP="00026BEA">
      <w:pPr>
        <w:pStyle w:val="Nadpis2"/>
      </w:pPr>
      <w:bookmarkStart w:id="8" w:name="_Toc97713487"/>
      <w:r w:rsidRPr="00026BEA">
        <w:t>Provozní náklady infrastruktury</w:t>
      </w:r>
      <w:bookmarkEnd w:id="8"/>
    </w:p>
    <w:p w14:paraId="6F9AA12B" w14:textId="77777777" w:rsidR="003E789D" w:rsidRDefault="003E789D" w:rsidP="00563B6D">
      <w:pPr>
        <w:pStyle w:val="Nadpis5"/>
      </w:pPr>
      <w:r>
        <w:t>Varianta bez projektu</w:t>
      </w:r>
    </w:p>
    <w:p w14:paraId="1A25D893" w14:textId="11F4625E" w:rsidR="00A95212" w:rsidRDefault="00A95212" w:rsidP="00A95212">
      <w:r>
        <w:t>Pro výpočet nákladů</w:t>
      </w:r>
      <w:r w:rsidR="005E1491">
        <w:t xml:space="preserve"> </w:t>
      </w:r>
      <w:r>
        <w:t>na údržbu a opravy</w:t>
      </w:r>
      <w:r w:rsidR="005E1491">
        <w:t xml:space="preserve"> ve variantě bez projektu </w:t>
      </w:r>
      <w:r>
        <w:t xml:space="preserve">byla použita metoda měrných sazeb dle </w:t>
      </w:r>
      <w:r w:rsidR="00572F45">
        <w:rPr>
          <w:noProof/>
        </w:rPr>
        <w:t>Rezortní metodiky</w:t>
      </w:r>
      <w:r w:rsidR="00572F45" w:rsidRPr="00AC58F8">
        <w:rPr>
          <w:noProof/>
        </w:rPr>
        <w:t xml:space="preserve"> pro hodnocení ekonomické efektivnosti projektů dopravních staveb</w:t>
      </w:r>
      <w:r w:rsidR="00F32207">
        <w:rPr>
          <w:noProof/>
        </w:rPr>
        <w:t xml:space="preserve"> (dále „Rezortní metodika“)</w:t>
      </w:r>
      <w:r w:rsidR="00572F45">
        <w:rPr>
          <w:noProof/>
        </w:rPr>
        <w:t>,</w:t>
      </w:r>
      <w:r w:rsidR="00F5393C" w:rsidRPr="00A95212">
        <w:rPr>
          <w:color w:val="FF0000"/>
        </w:rPr>
        <w:t xml:space="preserve"> </w:t>
      </w:r>
      <w:r w:rsidRPr="00A95212">
        <w:t>a to</w:t>
      </w:r>
      <w:r>
        <w:t xml:space="preserve"> z důvodu, že nebyly známy náklady po položkách a jedná se o ucelenou trať délky přes 50 k</w:t>
      </w:r>
      <w:r w:rsidR="00935B33">
        <w:t>m. Uvažována byla kategorie TC6</w:t>
      </w:r>
      <w:r>
        <w:t xml:space="preserve"> </w:t>
      </w:r>
      <w:r w:rsidR="00935B33">
        <w:t>(</w:t>
      </w:r>
      <w:r>
        <w:t>jednokolejná trať, elektrizovaná, celostátní</w:t>
      </w:r>
      <w:r w:rsidR="00935B33">
        <w:t>)</w:t>
      </w:r>
      <w:r>
        <w:t>. Výpočet vychází z</w:t>
      </w:r>
      <w:r w:rsidR="00F32207">
        <w:t xml:space="preserve"> Rezortní </w:t>
      </w:r>
      <w:r>
        <w:t xml:space="preserve">metodiky (délka trati </w:t>
      </w:r>
      <w:r w:rsidR="00F32207">
        <w:t>×</w:t>
      </w:r>
      <w:r>
        <w:t xml:space="preserve"> sazba)</w:t>
      </w:r>
      <w:r w:rsidR="00935B33">
        <w:t>.</w:t>
      </w:r>
      <w:r>
        <w:t xml:space="preserve"> Toto číslo bylo dále navýšeno o 33</w:t>
      </w:r>
      <w:r w:rsidR="00F32207">
        <w:t> </w:t>
      </w:r>
      <w:r>
        <w:t>% jako zohlednění vlivu vývoje cen stavebních prací</w:t>
      </w:r>
      <w:r w:rsidR="00F32207">
        <w:t xml:space="preserve"> oproti době vydání Rezortní metodiky</w:t>
      </w:r>
      <w:r>
        <w:t xml:space="preserve"> (vítězné nabídky vs. OTSKP</w:t>
      </w:r>
      <w:r w:rsidRPr="00581B0A">
        <w:t xml:space="preserve"> </w:t>
      </w:r>
      <w:r>
        <w:t>u srovnatelných zakázek</w:t>
      </w:r>
      <w:r w:rsidR="00F32207">
        <w:t xml:space="preserve"> Správy železnic</w:t>
      </w:r>
      <w:r>
        <w:t xml:space="preserve"> z let 2019 a 2020).</w:t>
      </w:r>
    </w:p>
    <w:p w14:paraId="38F22CE2" w14:textId="41F2493A" w:rsidR="00A95212" w:rsidRDefault="00A95212" w:rsidP="00A95212">
      <w:r>
        <w:t>U výpočtu reinvestic byl zvolen stejný přístup jako u oprav, tedy měrné sazby. Výpočet vychází z </w:t>
      </w:r>
      <w:r w:rsidR="00572F45">
        <w:rPr>
          <w:noProof/>
        </w:rPr>
        <w:t>Rezortní metodiky</w:t>
      </w:r>
      <w:r w:rsidR="00572F45" w:rsidRPr="00AC58F8">
        <w:rPr>
          <w:noProof/>
        </w:rPr>
        <w:t xml:space="preserve"> </w:t>
      </w:r>
      <w:r>
        <w:t xml:space="preserve">(délka trati </w:t>
      </w:r>
      <w:r w:rsidR="00F32207">
        <w:t>×</w:t>
      </w:r>
      <w:r>
        <w:t xml:space="preserve"> sazba), toto číslo bylo opět navýšeno o 33</w:t>
      </w:r>
      <w:r w:rsidR="00F32207">
        <w:t> </w:t>
      </w:r>
      <w:r>
        <w:t>% ze stejného důvodu jako u oprav</w:t>
      </w:r>
      <w:r w:rsidR="00935B33">
        <w:t>. D</w:t>
      </w:r>
      <w:r>
        <w:t>ále v letech 2028 až 2030 bylo navýšeno o ETCS, s nimiž se uvažuje i</w:t>
      </w:r>
      <w:r w:rsidR="000274D4">
        <w:t> </w:t>
      </w:r>
      <w:r>
        <w:t>ve variantě bez projektu</w:t>
      </w:r>
      <w:r w:rsidR="00935B33">
        <w:t>,</w:t>
      </w:r>
      <w:r>
        <w:t xml:space="preserve"> vzhledem k aktuální koncepci vybavení ETCS na celé </w:t>
      </w:r>
      <w:r w:rsidR="00F32207">
        <w:t xml:space="preserve">železniční </w:t>
      </w:r>
      <w:r>
        <w:t>síti a vzhledem k tomu, že trať přes Hradec Králové slouží i dnes jako odklonová pro I. TŽK.</w:t>
      </w:r>
    </w:p>
    <w:p w14:paraId="3DB0BDC2" w14:textId="514FF6F7" w:rsidR="00A95212" w:rsidRDefault="00A95212" w:rsidP="00A95212">
      <w:r>
        <w:t>Náklady na řízení provozu byly aktualizovány</w:t>
      </w:r>
      <w:r w:rsidR="00211E65">
        <w:t>. Došlo k</w:t>
      </w:r>
      <w:r w:rsidRPr="00A95212">
        <w:t xml:space="preserve"> </w:t>
      </w:r>
      <w:r w:rsidR="00211E65">
        <w:t>aktualizaci</w:t>
      </w:r>
      <w:r>
        <w:t xml:space="preserve"> zaměstnanců o vliv </w:t>
      </w:r>
      <w:r w:rsidR="00F32207">
        <w:t xml:space="preserve">dosavadních </w:t>
      </w:r>
      <w:r>
        <w:t>opravných akcí OŘ (Čermná n. O.</w:t>
      </w:r>
      <w:r w:rsidR="00F32207">
        <w:t>, oprava SZZ</w:t>
      </w:r>
      <w:r>
        <w:t xml:space="preserve">) a věcného rozsahu </w:t>
      </w:r>
      <w:proofErr w:type="spellStart"/>
      <w:r>
        <w:t>žst</w:t>
      </w:r>
      <w:proofErr w:type="spellEnd"/>
      <w:r>
        <w:t xml:space="preserve">. Týniště n. O. (nově je celá stanice zahrnuta do EH Týniště – Solnice). </w:t>
      </w:r>
      <w:r w:rsidR="00211E65">
        <w:t>Byly z</w:t>
      </w:r>
      <w:r>
        <w:t xml:space="preserve">ohledněny budoucí opravné práce, tedy postupná náhrada SZZ novými </w:t>
      </w:r>
      <w:r w:rsidRPr="00316858">
        <w:t xml:space="preserve">zařízeními – bez potřeby signalistů, ale i nadále bez DOZ z důvodu zachování úrovňových nástupišť. </w:t>
      </w:r>
      <w:r w:rsidR="00211E65" w:rsidRPr="00316858">
        <w:t>Dále byl z</w:t>
      </w:r>
      <w:r w:rsidRPr="00316858">
        <w:t xml:space="preserve">ohledněn vliv nočních výluk dopravní služby, tedy náklady na pracovníky během těchto </w:t>
      </w:r>
      <w:r w:rsidR="00F32207" w:rsidRPr="00316858">
        <w:t xml:space="preserve">nočních </w:t>
      </w:r>
      <w:r w:rsidRPr="00316858">
        <w:t xml:space="preserve">výluk. </w:t>
      </w:r>
      <w:r w:rsidR="00F32207" w:rsidRPr="00316858">
        <w:t>Rezortní metodika neobsahuje sazby pro traťového dispečera</w:t>
      </w:r>
      <w:r w:rsidR="00A666D8" w:rsidRPr="00316858">
        <w:t xml:space="preserve"> a</w:t>
      </w:r>
      <w:r w:rsidR="00F32207" w:rsidRPr="00316858">
        <w:t xml:space="preserve"> pracovníka dozoru. </w:t>
      </w:r>
      <w:r w:rsidRPr="00316858">
        <w:t xml:space="preserve">V řádku Dozorčí provozu je uveden traťový dispečer a v řádku Dělník v dopravě je uveden pracovník </w:t>
      </w:r>
      <w:r>
        <w:t>dozoru.</w:t>
      </w:r>
    </w:p>
    <w:p w14:paraId="406C8548" w14:textId="3007CF3A" w:rsidR="005E1491" w:rsidRPr="00A95212" w:rsidRDefault="00935B33" w:rsidP="005E1491">
      <w:r w:rsidRPr="00EA1231">
        <w:t xml:space="preserve">Náklady na běžnou údržbu silniční infrastruktury </w:t>
      </w:r>
      <w:r w:rsidR="000972BF" w:rsidRPr="00EA1231">
        <w:t xml:space="preserve">vychází z PN vozidel </w:t>
      </w:r>
      <w:r w:rsidRPr="00EA1231">
        <w:t xml:space="preserve">a </w:t>
      </w:r>
      <w:r w:rsidR="000972BF" w:rsidRPr="00EA1231">
        <w:t xml:space="preserve">sazba </w:t>
      </w:r>
      <w:r w:rsidRPr="00EA1231">
        <w:t xml:space="preserve">byla použita dle </w:t>
      </w:r>
      <w:r w:rsidRPr="00EA1231">
        <w:rPr>
          <w:noProof/>
        </w:rPr>
        <w:t xml:space="preserve">Rezortní metodiky </w:t>
      </w:r>
      <w:r w:rsidR="00EA1231" w:rsidRPr="00EA1231">
        <w:t>dle</w:t>
      </w:r>
      <w:r w:rsidRPr="00EA1231">
        <w:t xml:space="preserve"> tab. 8.40 upravené na CÚ 2020.</w:t>
      </w:r>
    </w:p>
    <w:p w14:paraId="1E41F1C7" w14:textId="77777777" w:rsidR="003E789D" w:rsidRDefault="003E789D" w:rsidP="00563B6D">
      <w:pPr>
        <w:pStyle w:val="Nadpis5"/>
      </w:pPr>
      <w:r>
        <w:lastRenderedPageBreak/>
        <w:t>Varianta s projektem</w:t>
      </w:r>
    </w:p>
    <w:p w14:paraId="62E511DE" w14:textId="0A92501D" w:rsidR="001B40BD" w:rsidRDefault="00F5393C" w:rsidP="001B40BD">
      <w:r>
        <w:t>N</w:t>
      </w:r>
      <w:r w:rsidR="001B40BD">
        <w:t xml:space="preserve">áklady </w:t>
      </w:r>
      <w:r>
        <w:t>na údržbu a opravy</w:t>
      </w:r>
      <w:r w:rsidR="001B40BD">
        <w:t xml:space="preserve"> ve variantě s projektem byly vypočítány na základě metody individuálního výpočtu podle </w:t>
      </w:r>
      <w:r w:rsidR="00572F45">
        <w:rPr>
          <w:noProof/>
        </w:rPr>
        <w:t>Rezortní metodiky</w:t>
      </w:r>
      <w:r w:rsidR="001B40BD">
        <w:t>, tedy 1% ročně údržba</w:t>
      </w:r>
      <w:r>
        <w:t xml:space="preserve"> a</w:t>
      </w:r>
      <w:r w:rsidR="001B40BD">
        <w:t xml:space="preserve"> </w:t>
      </w:r>
      <w:r w:rsidR="007F439D">
        <w:t xml:space="preserve">dále </w:t>
      </w:r>
      <w:r w:rsidR="007602DD">
        <w:t xml:space="preserve">byly </w:t>
      </w:r>
      <w:r w:rsidR="001B40BD">
        <w:t>použity cykly</w:t>
      </w:r>
      <w:r>
        <w:t xml:space="preserve"> pro jednotlivé roky </w:t>
      </w:r>
      <w:r w:rsidR="007F439D">
        <w:t>v kategorii</w:t>
      </w:r>
      <w:r w:rsidR="007602DD">
        <w:t xml:space="preserve"> TC3 </w:t>
      </w:r>
      <w:r>
        <w:t>(částka ponížen</w:t>
      </w:r>
      <w:r w:rsidR="00BA4BF8">
        <w:t>a o demolice, skládkování, atd.</w:t>
      </w:r>
      <w:r>
        <w:t>) a to</w:t>
      </w:r>
      <w:r w:rsidR="001B40BD">
        <w:t xml:space="preserve"> vše od roku 2029</w:t>
      </w:r>
      <w:r>
        <w:t>, kdy se předpokládá začátek provozu.</w:t>
      </w:r>
      <w:r w:rsidR="007C7F9B">
        <w:t xml:space="preserve"> </w:t>
      </w:r>
      <w:r>
        <w:t>Pro</w:t>
      </w:r>
      <w:r w:rsidR="001B40BD">
        <w:t xml:space="preserve"> rok</w:t>
      </w:r>
      <w:r>
        <w:t>y</w:t>
      </w:r>
      <w:r w:rsidR="001B40BD">
        <w:t xml:space="preserve"> 2023 až 2028 </w:t>
      </w:r>
      <w:r>
        <w:t xml:space="preserve">byla </w:t>
      </w:r>
      <w:r w:rsidR="001B40BD">
        <w:t>p</w:t>
      </w:r>
      <w:r>
        <w:t>oužita stejná metoda</w:t>
      </w:r>
      <w:r w:rsidR="001B40BD">
        <w:t xml:space="preserve"> jako u</w:t>
      </w:r>
      <w:r>
        <w:t xml:space="preserve"> varianty</w:t>
      </w:r>
      <w:r w:rsidR="001B40BD">
        <w:t xml:space="preserve"> „bez projektu“.</w:t>
      </w:r>
    </w:p>
    <w:p w14:paraId="08EB62CB" w14:textId="0CFB01C6" w:rsidR="00F5393C" w:rsidRDefault="00F5393C" w:rsidP="001B40BD">
      <w:pPr>
        <w:rPr>
          <w:color w:val="FF0000"/>
        </w:rPr>
      </w:pPr>
      <w:r>
        <w:t xml:space="preserve">Pro výpočet nákladů na reinvestice byly opět, stejně jako u oprav, použity cykly dle </w:t>
      </w:r>
      <w:r w:rsidR="00572F45">
        <w:rPr>
          <w:noProof/>
        </w:rPr>
        <w:t>Rezortní metodiky</w:t>
      </w:r>
      <w:r w:rsidRPr="00A666D8">
        <w:t>.</w:t>
      </w:r>
    </w:p>
    <w:p w14:paraId="4939C3DD" w14:textId="08579D7F" w:rsidR="00031814" w:rsidRPr="00316858" w:rsidRDefault="00F5393C" w:rsidP="00031814">
      <w:r>
        <w:t xml:space="preserve">V </w:t>
      </w:r>
      <w:r w:rsidRPr="00316858">
        <w:t>nákladech na řízení provozu došlo k aktualizaci zaměstnanců</w:t>
      </w:r>
      <w:r w:rsidR="00F32207" w:rsidRPr="00316858">
        <w:t xml:space="preserve"> obdobně </w:t>
      </w:r>
      <w:r w:rsidR="00A666D8" w:rsidRPr="00316858">
        <w:t>jako u varianty</w:t>
      </w:r>
      <w:r w:rsidR="00F32207" w:rsidRPr="00316858">
        <w:t xml:space="preserve"> bez projektu</w:t>
      </w:r>
      <w:r w:rsidRPr="00316858">
        <w:t xml:space="preserve">. </w:t>
      </w:r>
    </w:p>
    <w:p w14:paraId="6B7BCC19" w14:textId="4196BC6A" w:rsidR="00565D61" w:rsidRPr="00316858" w:rsidRDefault="003E789D" w:rsidP="005E1491">
      <w:r w:rsidRPr="00316858">
        <w:t>Náklady na běžnou údržbu silniční infrastruktury jsou uv</w:t>
      </w:r>
      <w:r w:rsidR="00A666D8" w:rsidRPr="00316858">
        <w:t>ažovány obdobně jako </w:t>
      </w:r>
      <w:r w:rsidR="008419BB" w:rsidRPr="00316858">
        <w:t xml:space="preserve">u </w:t>
      </w:r>
      <w:r w:rsidR="00A666D8" w:rsidRPr="00316858">
        <w:t>varianty</w:t>
      </w:r>
      <w:r w:rsidRPr="00316858">
        <w:t xml:space="preserve"> bez projektu.</w:t>
      </w:r>
    </w:p>
    <w:p w14:paraId="0751DE83" w14:textId="77777777" w:rsidR="00366A5B" w:rsidRDefault="00366A5B" w:rsidP="00366A5B">
      <w:pPr>
        <w:pStyle w:val="Nadpis2"/>
      </w:pPr>
      <w:bookmarkStart w:id="9" w:name="_Toc97713488"/>
      <w:r w:rsidRPr="00026BEA">
        <w:t xml:space="preserve">Provozní náklady </w:t>
      </w:r>
      <w:r>
        <w:t>vozidel</w:t>
      </w:r>
      <w:bookmarkEnd w:id="9"/>
    </w:p>
    <w:p w14:paraId="6AD1EBC7" w14:textId="77777777" w:rsidR="00CB3388" w:rsidRDefault="00CB3388" w:rsidP="00CB3388">
      <w:pPr>
        <w:pStyle w:val="Nadpis5"/>
      </w:pPr>
      <w:r>
        <w:t>Osobní doprava</w:t>
      </w:r>
    </w:p>
    <w:p w14:paraId="124F273C" w14:textId="48F9E8A3" w:rsidR="00CB3388" w:rsidRDefault="00F46E66" w:rsidP="00CB3388">
      <w:r>
        <w:t xml:space="preserve">Výhledový rozsah </w:t>
      </w:r>
      <w:r w:rsidR="003E789D">
        <w:t xml:space="preserve">osobní </w:t>
      </w:r>
      <w:r>
        <w:t>dopravy</w:t>
      </w:r>
      <w:r w:rsidR="003E789D">
        <w:t xml:space="preserve"> vstupující do ekonomického hodnocení</w:t>
      </w:r>
      <w:r>
        <w:t xml:space="preserve"> byl převzat z</w:t>
      </w:r>
      <w:r w:rsidR="003E789D">
        <w:t xml:space="preserve"> Podkladové </w:t>
      </w:r>
      <w:r>
        <w:t>SP. Důvodem je předně návaznost na původní prognózu osobní dopravy, která je rovněž přebírána</w:t>
      </w:r>
      <w:r w:rsidR="003E789D">
        <w:t>. Původní</w:t>
      </w:r>
      <w:r>
        <w:t xml:space="preserve"> koncepce </w:t>
      </w:r>
      <w:r w:rsidR="003E789D">
        <w:t xml:space="preserve">provozu se zavedením nové linky Ex Praha – Hradec Králové a dalšími změnami zejména v úseku Hradec Králové – Týniště n. O. je dosud platná, mírně vyšší budoucí uvažovaný počet vlaků R nebude mít podstatný (a jistě ne negativní) vliv na výsledky EH a případné budoucí převedení vlaků Ex Praha – Hradec Králové na pilotní úsek VRT </w:t>
      </w:r>
      <w:r w:rsidR="00CB3388">
        <w:t>Praha-Běchovice – Poříčany bude zahrnut do EH pilotního úseku</w:t>
      </w:r>
      <w:r>
        <w:t xml:space="preserve">. </w:t>
      </w:r>
    </w:p>
    <w:p w14:paraId="01A0D8AE" w14:textId="4A6225E1" w:rsidR="00CB3388" w:rsidRDefault="00CB3388" w:rsidP="00CB3388">
      <w:r>
        <w:t xml:space="preserve">Oproti Podkladové SP byla z hodnoceného území vyjmuta Libická spojka a stávající trať </w:t>
      </w:r>
      <w:proofErr w:type="spellStart"/>
      <w:r>
        <w:t>Kanín</w:t>
      </w:r>
      <w:proofErr w:type="spellEnd"/>
      <w:r>
        <w:t xml:space="preserve"> – Velký Osek, které jsou nově plně součástí ASP Kolín – Děčín. V PN vlaků i v časových úsporách cestujících se to projevilo zkrácením délky pojížděného úseku a také zkrácením cestovní doby bez projektu i s projektem.</w:t>
      </w:r>
    </w:p>
    <w:p w14:paraId="68C75315" w14:textId="77777777" w:rsidR="00CB3388" w:rsidRDefault="00CB3388" w:rsidP="00CB3388">
      <w:pPr>
        <w:pStyle w:val="Nadpis5"/>
      </w:pPr>
      <w:r>
        <w:t>Nákladní doprava</w:t>
      </w:r>
    </w:p>
    <w:p w14:paraId="41CB3ABC" w14:textId="3253FC6F" w:rsidR="00F46E66" w:rsidRDefault="00F46E66" w:rsidP="00F46E66">
      <w:r>
        <w:t>V nákladní dopravě byl rovněž počet nákladních vlaků převzat z </w:t>
      </w:r>
      <w:r w:rsidR="00CB3388">
        <w:t>Podkladové</w:t>
      </w:r>
      <w:r>
        <w:t xml:space="preserve"> SP. V nyní uzavírané ASP</w:t>
      </w:r>
      <w:r w:rsidR="00CB3388">
        <w:t xml:space="preserve"> optimalizace trati</w:t>
      </w:r>
      <w:r>
        <w:t xml:space="preserve"> Kolín</w:t>
      </w:r>
      <w:r w:rsidR="00CB3388">
        <w:t xml:space="preserve"> – Všetaty</w:t>
      </w:r>
      <w:r>
        <w:t xml:space="preserve"> – Děčín se uvažuje s výrazně odlišnými počty</w:t>
      </w:r>
      <w:r w:rsidR="00CB3388">
        <w:t xml:space="preserve"> nákladních</w:t>
      </w:r>
      <w:r>
        <w:t xml:space="preserve"> vlaků, a to nižšími bez projektu a naopak vyššími s projektem pro preferovanou variantu Z1. Z ASP Kolín – Děčín ovšem neplyne, zda ASP počítá s přínosy z velkého rozdílu mezi počty vlaků bez projektu a s projektem jen na úseku </w:t>
      </w:r>
      <w:r w:rsidR="00CB3388">
        <w:t xml:space="preserve">trati </w:t>
      </w:r>
      <w:r>
        <w:t>Kolín – Děčín, nebo na delším úseku (na celém území ČR nebo dokonce na celé délce přepravy). Aby bylo vyloučeno riziko, že přínosy</w:t>
      </w:r>
      <w:r w:rsidR="00CB3388">
        <w:t xml:space="preserve"> z výrazně navýšeného rozsahu dopravy</w:t>
      </w:r>
      <w:r>
        <w:t xml:space="preserve"> budou započteny neobjektivně dvakrát, byl do EH V</w:t>
      </w:r>
      <w:r w:rsidR="00CB3388">
        <w:t xml:space="preserve">elký </w:t>
      </w:r>
      <w:r>
        <w:t>O</w:t>
      </w:r>
      <w:r w:rsidR="00CB3388">
        <w:t>sek – Hradec Králové</w:t>
      </w:r>
      <w:r>
        <w:t xml:space="preserve"> – Choceň započten jen původně prognózovaný počet vlaků</w:t>
      </w:r>
      <w:r w:rsidR="00CB3388">
        <w:t xml:space="preserve"> z Podkladové SP</w:t>
      </w:r>
      <w:r>
        <w:t>. Tím se nevylučuje, že počty vlaků pro jiné účely (pro dopravně technologická posouzení, pro výpočet hluku) ve stavbách V</w:t>
      </w:r>
      <w:r w:rsidR="00CB3388">
        <w:t xml:space="preserve">elký </w:t>
      </w:r>
      <w:r>
        <w:t>O</w:t>
      </w:r>
      <w:r w:rsidR="00CB3388">
        <w:t>sek – Hradec Králové</w:t>
      </w:r>
      <w:r>
        <w:t xml:space="preserve"> – Choceň budou vyšší.</w:t>
      </w:r>
    </w:p>
    <w:p w14:paraId="2C99283F" w14:textId="48E115BE" w:rsidR="00F46E66" w:rsidRDefault="00D422A4" w:rsidP="00F46E66">
      <w:r>
        <w:t xml:space="preserve">Shodně s Podkladovou SP uvažujeme s převedením části nákladních vlaků z trati Choceň – Pardubice – Kolín – Velký Osek. Oproti trati přes Pardubice je trať přes Hradec Králové o 19 km delší, ale zároveň jsou očekávané jízdní doby o 50 minut přes Hradec Králové kratší. Důvodem je vysoké vytížení trati Choceň – Pardubice – Kolín, které v denní době vedou k nutnosti opakovaného předjíždění nákladních vlaků vlaky expresními a tedy ke zdržování nákladních vlaků. </w:t>
      </w:r>
      <w:r w:rsidR="00F46E66">
        <w:t>Cestovní doby nákladních vlaků ve stávajícím stavu byly vzaty z GVD</w:t>
      </w:r>
      <w:r>
        <w:t xml:space="preserve"> 2020</w:t>
      </w:r>
      <w:r w:rsidR="00F46E66">
        <w:t xml:space="preserve"> (V</w:t>
      </w:r>
      <w:r>
        <w:t xml:space="preserve">elký </w:t>
      </w:r>
      <w:r w:rsidR="00F46E66">
        <w:t>O</w:t>
      </w:r>
      <w:r>
        <w:t>sek</w:t>
      </w:r>
      <w:r w:rsidR="00F46E66">
        <w:t xml:space="preserve"> – </w:t>
      </w:r>
      <w:proofErr w:type="spellStart"/>
      <w:r w:rsidR="00F46E66">
        <w:t>odb</w:t>
      </w:r>
      <w:proofErr w:type="spellEnd"/>
      <w:r w:rsidR="00F46E66">
        <w:t>. Plačice</w:t>
      </w:r>
      <w:r>
        <w:t xml:space="preserve"> u vlaků směr Elektrárna Opatovice</w:t>
      </w:r>
      <w:r w:rsidR="00F46E66">
        <w:t>, V</w:t>
      </w:r>
      <w:r>
        <w:t xml:space="preserve">elký </w:t>
      </w:r>
      <w:r w:rsidR="00F46E66">
        <w:t>O</w:t>
      </w:r>
      <w:r>
        <w:t>sek</w:t>
      </w:r>
      <w:r w:rsidR="00F46E66">
        <w:t xml:space="preserve"> – Choceň</w:t>
      </w:r>
      <w:r>
        <w:t xml:space="preserve"> u vlaků projíždějících celou trať</w:t>
      </w:r>
      <w:r w:rsidR="00F46E66">
        <w:t xml:space="preserve">), výhledové </w:t>
      </w:r>
      <w:r>
        <w:t xml:space="preserve">cestovní </w:t>
      </w:r>
      <w:r w:rsidR="00F46E66">
        <w:t xml:space="preserve">doby byly převzaty z návrhových GVD z </w:t>
      </w:r>
      <w:r>
        <w:t xml:space="preserve">Podkladové </w:t>
      </w:r>
      <w:r w:rsidR="00F46E66">
        <w:t>SP.</w:t>
      </w:r>
    </w:p>
    <w:p w14:paraId="2F1A45D9" w14:textId="77777777" w:rsidR="00CB3388" w:rsidRDefault="00CB3388" w:rsidP="00CB3388">
      <w:pPr>
        <w:pStyle w:val="Nadpis5"/>
      </w:pPr>
      <w:r>
        <w:t>Sazby provozních nákladů vozidel</w:t>
      </w:r>
      <w:r w:rsidR="001F73B9">
        <w:t xml:space="preserve"> varianty bez projektu</w:t>
      </w:r>
    </w:p>
    <w:p w14:paraId="1DF667E2" w14:textId="3B89A43F" w:rsidR="000D5C75" w:rsidRDefault="00F46E66" w:rsidP="00F46E66">
      <w:r>
        <w:t xml:space="preserve">Sazby PN vlaků byly proti </w:t>
      </w:r>
      <w:r w:rsidR="00B5229F">
        <w:t xml:space="preserve">Podkladové </w:t>
      </w:r>
      <w:r>
        <w:t xml:space="preserve">SP </w:t>
      </w:r>
      <w:r w:rsidRPr="00316858">
        <w:t>2015</w:t>
      </w:r>
      <w:r w:rsidR="00742B14" w:rsidRPr="00316858">
        <w:t xml:space="preserve"> změněny</w:t>
      </w:r>
      <w:r w:rsidR="00B5229F" w:rsidRPr="00316858">
        <w:t xml:space="preserve">. Rezortní </w:t>
      </w:r>
      <w:r w:rsidR="00B5229F">
        <w:t xml:space="preserve">metodika umožňuje použít pro PN vlaků buď předem stanovené sazby, nebo je stanovit individuální kalkulací. Pro toto EH byly PN vlaků </w:t>
      </w:r>
      <w:r>
        <w:t>pře</w:t>
      </w:r>
      <w:r w:rsidR="00677F22">
        <w:t>vzaty ze schvalované ASP Kolín  -</w:t>
      </w:r>
      <w:r>
        <w:t xml:space="preserve"> Děčín. Důvodem je kontinuita těchto dvou navazujících studií.</w:t>
      </w:r>
      <w:r w:rsidR="00677F22">
        <w:t xml:space="preserve"> </w:t>
      </w:r>
    </w:p>
    <w:p w14:paraId="10FBF89C" w14:textId="3C9E5EF9" w:rsidR="00F46E66" w:rsidRPr="000D5C75" w:rsidRDefault="003932DA" w:rsidP="00F46E66">
      <w:r w:rsidRPr="000D5C75">
        <w:lastRenderedPageBreak/>
        <w:t xml:space="preserve">Ve výpočtu </w:t>
      </w:r>
      <w:r w:rsidR="000D5C75" w:rsidRPr="000D5C75">
        <w:t xml:space="preserve">pro osobní dopravu </w:t>
      </w:r>
      <w:r w:rsidRPr="00316858">
        <w:t xml:space="preserve">byly uvažovány </w:t>
      </w:r>
      <w:r w:rsidR="009F5819" w:rsidRPr="00316858">
        <w:t>ujeté vzdálenosti</w:t>
      </w:r>
      <w:r w:rsidR="00B03C60" w:rsidRPr="00316858">
        <w:t xml:space="preserve"> (v </w:t>
      </w:r>
      <w:r w:rsidR="00285DF3" w:rsidRPr="00316858">
        <w:t>km</w:t>
      </w:r>
      <w:r w:rsidR="00B5229F" w:rsidRPr="00316858">
        <w:t xml:space="preserve"> na jeden vlak</w:t>
      </w:r>
      <w:r w:rsidR="00B03C60" w:rsidRPr="00316858">
        <w:t>)</w:t>
      </w:r>
      <w:r w:rsidR="00BA476F" w:rsidRPr="00316858">
        <w:t>,</w:t>
      </w:r>
      <w:r w:rsidR="00285DF3" w:rsidRPr="00316858">
        <w:t xml:space="preserve"> </w:t>
      </w:r>
      <w:r w:rsidR="00B03C60" w:rsidRPr="00316858">
        <w:t xml:space="preserve">jízdní doby (v </w:t>
      </w:r>
      <w:r w:rsidR="00285DF3" w:rsidRPr="00316858">
        <w:t>hod</w:t>
      </w:r>
      <w:r w:rsidR="00B5229F" w:rsidRPr="00316858">
        <w:t>in</w:t>
      </w:r>
      <w:r w:rsidR="00B03C60" w:rsidRPr="00316858">
        <w:t>ách</w:t>
      </w:r>
      <w:r w:rsidR="00B5229F" w:rsidRPr="00316858">
        <w:t xml:space="preserve"> na jeden vlak</w:t>
      </w:r>
      <w:r w:rsidR="00B03C60" w:rsidRPr="00316858">
        <w:t>)</w:t>
      </w:r>
      <w:r w:rsidR="00BA476F" w:rsidRPr="00316858">
        <w:t xml:space="preserve"> a</w:t>
      </w:r>
      <w:r w:rsidR="00285DF3" w:rsidRPr="00316858">
        <w:t xml:space="preserve"> </w:t>
      </w:r>
      <w:r w:rsidR="00742B14" w:rsidRPr="00316858">
        <w:t xml:space="preserve">počty </w:t>
      </w:r>
      <w:r w:rsidR="00285DF3" w:rsidRPr="00316858">
        <w:t>vlaků</w:t>
      </w:r>
      <w:r w:rsidR="00B5229F" w:rsidRPr="00316858">
        <w:t xml:space="preserve"> denně</w:t>
      </w:r>
      <w:r w:rsidR="00BA476F" w:rsidRPr="00316858">
        <w:t xml:space="preserve"> podle Podkladové SP (část A-3, tab. 3.4)</w:t>
      </w:r>
      <w:r w:rsidR="009F5819" w:rsidRPr="00316858">
        <w:t xml:space="preserve"> s odečtením úseku v obvodu </w:t>
      </w:r>
      <w:proofErr w:type="spellStart"/>
      <w:r w:rsidR="009F5819" w:rsidRPr="00316858">
        <w:t>Kanín</w:t>
      </w:r>
      <w:proofErr w:type="spellEnd"/>
      <w:r w:rsidR="009F5819" w:rsidRPr="00316858">
        <w:t xml:space="preserve"> do km 4,1. Dále</w:t>
      </w:r>
      <w:r w:rsidR="00742B14" w:rsidRPr="00316858">
        <w:t xml:space="preserve"> se</w:t>
      </w:r>
      <w:r w:rsidR="009F5819" w:rsidRPr="00316858">
        <w:t xml:space="preserve"> pak </w:t>
      </w:r>
      <w:r w:rsidR="009F5819">
        <w:t>uvažují</w:t>
      </w:r>
      <w:r w:rsidR="00BA476F">
        <w:t xml:space="preserve"> následující</w:t>
      </w:r>
      <w:r w:rsidR="00285DF3" w:rsidRPr="000D5C75">
        <w:t xml:space="preserve"> sazby</w:t>
      </w:r>
      <w:r w:rsidR="00B03C60">
        <w:t xml:space="preserve"> PN</w:t>
      </w:r>
      <w:r w:rsidR="00285DF3" w:rsidRPr="000D5C75">
        <w:t>:</w:t>
      </w:r>
    </w:p>
    <w:p w14:paraId="36FF34DF" w14:textId="1D20B13C" w:rsidR="00636012" w:rsidRPr="000D5C75" w:rsidRDefault="00240F37" w:rsidP="00563B6D">
      <w:pPr>
        <w:pStyle w:val="Odstavecseseznamem"/>
        <w:numPr>
          <w:ilvl w:val="0"/>
          <w:numId w:val="38"/>
        </w:numPr>
      </w:pPr>
      <w:r>
        <w:t xml:space="preserve">Ex + </w:t>
      </w:r>
      <w:r w:rsidR="00636012" w:rsidRPr="000D5C75">
        <w:t>R –</w:t>
      </w:r>
      <w:r w:rsidR="00742B14">
        <w:t xml:space="preserve"> </w:t>
      </w:r>
      <w:r w:rsidR="00636012" w:rsidRPr="000D5C75">
        <w:t>sazba 48,22 Kč/</w:t>
      </w:r>
      <w:proofErr w:type="spellStart"/>
      <w:r w:rsidR="00636012" w:rsidRPr="000D5C75">
        <w:t>vlkm</w:t>
      </w:r>
      <w:proofErr w:type="spellEnd"/>
      <w:r w:rsidR="00636012" w:rsidRPr="000D5C75">
        <w:t>, 13 668,73 Kč/</w:t>
      </w:r>
      <w:proofErr w:type="spellStart"/>
      <w:r w:rsidR="00636012" w:rsidRPr="000D5C75">
        <w:t>vlhod</w:t>
      </w:r>
      <w:proofErr w:type="spellEnd"/>
      <w:r>
        <w:t>;</w:t>
      </w:r>
    </w:p>
    <w:p w14:paraId="779C2FBE" w14:textId="0B1EE2E6" w:rsidR="00636012" w:rsidRPr="000D5C75" w:rsidRDefault="00636012" w:rsidP="00563B6D">
      <w:pPr>
        <w:pStyle w:val="Odstavecseseznamem"/>
        <w:numPr>
          <w:ilvl w:val="0"/>
          <w:numId w:val="38"/>
        </w:numPr>
      </w:pPr>
      <w:proofErr w:type="spellStart"/>
      <w:r w:rsidRPr="000D5C75">
        <w:t>Sp</w:t>
      </w:r>
      <w:proofErr w:type="spellEnd"/>
      <w:r w:rsidRPr="000D5C75">
        <w:t xml:space="preserve"> –sazba 36,39 Kč/</w:t>
      </w:r>
      <w:proofErr w:type="spellStart"/>
      <w:r w:rsidRPr="000D5C75">
        <w:t>vlkm</w:t>
      </w:r>
      <w:proofErr w:type="spellEnd"/>
      <w:r w:rsidRPr="000D5C75">
        <w:t>, 6 822,96 Kč/</w:t>
      </w:r>
      <w:proofErr w:type="spellStart"/>
      <w:r w:rsidRPr="000D5C75">
        <w:t>vlhod</w:t>
      </w:r>
      <w:proofErr w:type="spellEnd"/>
      <w:r w:rsidR="00240F37">
        <w:t>;</w:t>
      </w:r>
    </w:p>
    <w:p w14:paraId="3DE078F8" w14:textId="22D7374C" w:rsidR="00636012" w:rsidRPr="000D5C75" w:rsidRDefault="00636012" w:rsidP="00563B6D">
      <w:pPr>
        <w:pStyle w:val="Odstavecseseznamem"/>
        <w:numPr>
          <w:ilvl w:val="0"/>
          <w:numId w:val="38"/>
        </w:numPr>
      </w:pPr>
      <w:r w:rsidRPr="000D5C75">
        <w:t>Os –sazba 10,33 Kč/</w:t>
      </w:r>
      <w:proofErr w:type="spellStart"/>
      <w:r w:rsidRPr="000D5C75">
        <w:t>vlkm</w:t>
      </w:r>
      <w:proofErr w:type="spellEnd"/>
      <w:r w:rsidRPr="000D5C75">
        <w:t>, 4 106,42 Kč/</w:t>
      </w:r>
      <w:proofErr w:type="spellStart"/>
      <w:r w:rsidRPr="000D5C75">
        <w:t>vlhod</w:t>
      </w:r>
      <w:proofErr w:type="spellEnd"/>
      <w:r w:rsidR="00240F37">
        <w:t>.</w:t>
      </w:r>
    </w:p>
    <w:p w14:paraId="3F44EA41" w14:textId="22AE3CBE" w:rsidR="00636012" w:rsidRPr="00316858" w:rsidRDefault="000D5C75" w:rsidP="00636012">
      <w:r>
        <w:t xml:space="preserve">Pro </w:t>
      </w:r>
      <w:r w:rsidRPr="00316858">
        <w:t>výpočet nákladů na provoz vlaků u nákladní dopravy byla použita sazba 141,24 Kč/</w:t>
      </w:r>
      <w:proofErr w:type="spellStart"/>
      <w:r w:rsidRPr="00316858">
        <w:t>vlkm</w:t>
      </w:r>
      <w:proofErr w:type="spellEnd"/>
      <w:r w:rsidRPr="00316858">
        <w:t>, resp. 4 444,06 Kč/</w:t>
      </w:r>
      <w:proofErr w:type="spellStart"/>
      <w:r w:rsidRPr="00316858">
        <w:t>vlhod</w:t>
      </w:r>
      <w:proofErr w:type="spellEnd"/>
      <w:r w:rsidRPr="00316858">
        <w:t xml:space="preserve">. </w:t>
      </w:r>
      <w:r w:rsidR="00B5229F" w:rsidRPr="00316858">
        <w:t xml:space="preserve">Jak je uvedeno v kap. 1, podstatným přínosem projektové varianty A5 je nově oproti Podkladové SP odstranění postrků nákladních vlaků v úseku Choťovice – Převýšov díky snížení směrodatného sklonu trati, proto je nutné náklady na tuto postrkovou službu </w:t>
      </w:r>
      <w:r w:rsidR="00742B14" w:rsidRPr="00316858">
        <w:t xml:space="preserve">počítat </w:t>
      </w:r>
      <w:r w:rsidR="00B5229F" w:rsidRPr="00316858">
        <w:t xml:space="preserve">ve variantě bez projektu. </w:t>
      </w:r>
      <w:r w:rsidR="00636012" w:rsidRPr="00316858">
        <w:t>Pro postrkovou</w:t>
      </w:r>
      <w:r w:rsidR="00B5229F" w:rsidRPr="00316858">
        <w:t xml:space="preserve"> elektrickou</w:t>
      </w:r>
      <w:r w:rsidR="00636012" w:rsidRPr="00316858">
        <w:t xml:space="preserve"> lokomotivu na úseku Choťovice – Převýšov byl výpočet proveden z předpokladu, že je</w:t>
      </w:r>
      <w:r w:rsidR="00B5229F" w:rsidRPr="00316858">
        <w:t xml:space="preserve"> u ní</w:t>
      </w:r>
      <w:r w:rsidR="00636012" w:rsidRPr="00316858">
        <w:t xml:space="preserve"> podstatná trvalá disponibilita, tedy že musí být celých 24 hodin k</w:t>
      </w:r>
      <w:r w:rsidR="00B5229F" w:rsidRPr="00316858">
        <w:t> </w:t>
      </w:r>
      <w:r w:rsidR="00636012" w:rsidRPr="00316858">
        <w:t>dispozici i se strojvedoucím</w:t>
      </w:r>
      <w:r w:rsidR="00B5229F" w:rsidRPr="00316858">
        <w:t xml:space="preserve"> tak, aby mohla vystrkat těžké nákladní vlaky přijíždějící od Nymburka</w:t>
      </w:r>
      <w:r w:rsidR="00636012" w:rsidRPr="00316858">
        <w:t xml:space="preserve">, což se projevuje extrémně nízkým denním proběhem v km. Proběh a využití byly stanoveny analýzou GVD 2020. </w:t>
      </w:r>
      <w:r w:rsidR="00285DF3" w:rsidRPr="00316858">
        <w:t xml:space="preserve">Sazba pro postrkovou lokomotivu byla </w:t>
      </w:r>
      <w:r w:rsidR="00B5229F" w:rsidRPr="00316858">
        <w:t xml:space="preserve">spočtena </w:t>
      </w:r>
      <w:r w:rsidR="00285DF3" w:rsidRPr="00316858">
        <w:t>ve výši 14,16 Kč/</w:t>
      </w:r>
      <w:proofErr w:type="spellStart"/>
      <w:r w:rsidR="00285DF3" w:rsidRPr="00316858">
        <w:t>vlkm</w:t>
      </w:r>
      <w:proofErr w:type="spellEnd"/>
      <w:r w:rsidR="00285DF3" w:rsidRPr="00316858">
        <w:t>, resp. 1 640,-Kč/</w:t>
      </w:r>
      <w:proofErr w:type="spellStart"/>
      <w:r w:rsidR="00285DF3" w:rsidRPr="00316858">
        <w:t>vlhod</w:t>
      </w:r>
      <w:proofErr w:type="spellEnd"/>
      <w:r w:rsidR="00285DF3" w:rsidRPr="00316858">
        <w:t>.</w:t>
      </w:r>
    </w:p>
    <w:p w14:paraId="51DB9867" w14:textId="115D070A" w:rsidR="000D5C75" w:rsidRPr="00316858" w:rsidRDefault="000D5C75" w:rsidP="000D5C75">
      <w:r w:rsidRPr="00316858">
        <w:t xml:space="preserve">Ve výpočtu </w:t>
      </w:r>
      <w:r w:rsidR="00611973" w:rsidRPr="00316858">
        <w:t xml:space="preserve">pro nákladní dopravu </w:t>
      </w:r>
      <w:r w:rsidRPr="00316858">
        <w:t>byly uvažovány následuj</w:t>
      </w:r>
      <w:r w:rsidR="00611973" w:rsidRPr="00316858">
        <w:t xml:space="preserve">ící </w:t>
      </w:r>
      <w:r w:rsidR="00B03C60" w:rsidRPr="00316858">
        <w:t xml:space="preserve">hodnoty délky úseku (v </w:t>
      </w:r>
      <w:r w:rsidR="00611973" w:rsidRPr="00316858">
        <w:t>km</w:t>
      </w:r>
      <w:r w:rsidR="00B03C60" w:rsidRPr="00316858">
        <w:t xml:space="preserve"> na jeden vlak, není-li uvedeno jinak)</w:t>
      </w:r>
      <w:r w:rsidR="00611973" w:rsidRPr="00316858">
        <w:t>,</w:t>
      </w:r>
      <w:r w:rsidR="00B03C60" w:rsidRPr="00316858">
        <w:t xml:space="preserve"> jízdní doby (v</w:t>
      </w:r>
      <w:r w:rsidR="00611973" w:rsidRPr="00316858">
        <w:t xml:space="preserve"> hod</w:t>
      </w:r>
      <w:r w:rsidR="00B5229F" w:rsidRPr="00316858">
        <w:t>in</w:t>
      </w:r>
      <w:r w:rsidR="00B03C60" w:rsidRPr="00316858">
        <w:t>ách na jeden vlak)</w:t>
      </w:r>
      <w:r w:rsidR="00611973" w:rsidRPr="00316858">
        <w:t xml:space="preserve">, </w:t>
      </w:r>
      <w:r w:rsidR="00B03C60" w:rsidRPr="00316858">
        <w:t>počt</w:t>
      </w:r>
      <w:r w:rsidR="00742B14" w:rsidRPr="00316858">
        <w:t>y</w:t>
      </w:r>
      <w:r w:rsidR="00B03C60" w:rsidRPr="00316858">
        <w:t xml:space="preserve"> </w:t>
      </w:r>
      <w:r w:rsidR="00611973" w:rsidRPr="00316858">
        <w:t>vlaků</w:t>
      </w:r>
      <w:r w:rsidR="00B03C60" w:rsidRPr="00316858">
        <w:t xml:space="preserve"> denně</w:t>
      </w:r>
      <w:r w:rsidRPr="00316858">
        <w:t>:</w:t>
      </w:r>
    </w:p>
    <w:p w14:paraId="70728A9F" w14:textId="01553799" w:rsidR="00636012" w:rsidRPr="00316858" w:rsidRDefault="00240F37" w:rsidP="00563B6D">
      <w:pPr>
        <w:pStyle w:val="Odstavecseseznamem"/>
        <w:numPr>
          <w:ilvl w:val="0"/>
          <w:numId w:val="39"/>
        </w:numPr>
      </w:pPr>
      <w:r w:rsidRPr="00316858">
        <w:t>p</w:t>
      </w:r>
      <w:r w:rsidR="00B03C60" w:rsidRPr="00316858">
        <w:t>ostrková lokomotiva</w:t>
      </w:r>
      <w:r w:rsidR="00636012" w:rsidRPr="00316858">
        <w:t xml:space="preserve"> – 150,2 km</w:t>
      </w:r>
      <w:r w:rsidR="00B5229F" w:rsidRPr="00316858">
        <w:t xml:space="preserve"> ujetých za den</w:t>
      </w:r>
      <w:r w:rsidR="00636012" w:rsidRPr="00316858">
        <w:t xml:space="preserve">, </w:t>
      </w:r>
      <w:r w:rsidR="00B5229F" w:rsidRPr="00316858">
        <w:t xml:space="preserve">disponibilní doba </w:t>
      </w:r>
      <w:r w:rsidR="00636012" w:rsidRPr="00316858">
        <w:t>24 hod</w:t>
      </w:r>
      <w:r w:rsidR="00B5229F" w:rsidRPr="00316858">
        <w:t>.</w:t>
      </w:r>
      <w:r w:rsidR="00636012" w:rsidRPr="00316858">
        <w:t xml:space="preserve">, </w:t>
      </w:r>
      <w:r w:rsidR="00611973" w:rsidRPr="00316858">
        <w:t>250</w:t>
      </w:r>
      <w:r w:rsidR="00B5229F" w:rsidRPr="00316858">
        <w:t> </w:t>
      </w:r>
      <w:r w:rsidR="00611973" w:rsidRPr="00316858">
        <w:t>dní</w:t>
      </w:r>
      <w:r w:rsidR="00B5229F" w:rsidRPr="00316858">
        <w:t xml:space="preserve"> za rok</w:t>
      </w:r>
      <w:r w:rsidR="00611973" w:rsidRPr="00316858">
        <w:t>, 1 postrková lokomotiva</w:t>
      </w:r>
      <w:r w:rsidR="00B5229F" w:rsidRPr="00316858">
        <w:t xml:space="preserve"> v</w:t>
      </w:r>
      <w:r w:rsidRPr="00316858">
        <w:t> </w:t>
      </w:r>
      <w:r w:rsidR="00B5229F" w:rsidRPr="00316858">
        <w:t>turnuse</w:t>
      </w:r>
      <w:r w:rsidRPr="00316858">
        <w:t>;</w:t>
      </w:r>
    </w:p>
    <w:p w14:paraId="753CE27B" w14:textId="38E3BF15" w:rsidR="00636012" w:rsidRPr="00316858" w:rsidRDefault="00240F37" w:rsidP="00563B6D">
      <w:pPr>
        <w:pStyle w:val="Odstavecseseznamem"/>
        <w:numPr>
          <w:ilvl w:val="0"/>
          <w:numId w:val="39"/>
        </w:numPr>
      </w:pPr>
      <w:r w:rsidRPr="00316858">
        <w:t>s</w:t>
      </w:r>
      <w:r w:rsidR="00B03C60" w:rsidRPr="00316858">
        <w:t>távající vlaky přes Pardubice (vstupující do výpočtu pro p</w:t>
      </w:r>
      <w:r w:rsidR="00636012" w:rsidRPr="00316858">
        <w:t>ře</w:t>
      </w:r>
      <w:r w:rsidR="00742B14" w:rsidRPr="00316858">
        <w:t>ve</w:t>
      </w:r>
      <w:r w:rsidR="00636012" w:rsidRPr="00316858">
        <w:t>den</w:t>
      </w:r>
      <w:r w:rsidR="00B03C60" w:rsidRPr="00316858">
        <w:t>ou doprav</w:t>
      </w:r>
      <w:r w:rsidR="00742B14" w:rsidRPr="00316858">
        <w:t>u</w:t>
      </w:r>
      <w:r w:rsidR="00636012" w:rsidRPr="00316858">
        <w:t xml:space="preserve"> vlak-vlak</w:t>
      </w:r>
      <w:r w:rsidR="00B03C60" w:rsidRPr="00316858">
        <w:t>)</w:t>
      </w:r>
      <w:r w:rsidR="00636012" w:rsidRPr="00316858">
        <w:t xml:space="preserve"> </w:t>
      </w:r>
      <w:r w:rsidR="00611973" w:rsidRPr="00316858">
        <w:t>– 77</w:t>
      </w:r>
      <w:r w:rsidR="00B03C60" w:rsidRPr="00316858">
        <w:t> </w:t>
      </w:r>
      <w:r w:rsidR="00611973" w:rsidRPr="00316858">
        <w:t>km</w:t>
      </w:r>
      <w:r w:rsidR="00B03C60" w:rsidRPr="00316858">
        <w:t xml:space="preserve"> na vlak</w:t>
      </w:r>
      <w:r w:rsidR="00611973" w:rsidRPr="00316858">
        <w:t>, 1,83 hod</w:t>
      </w:r>
      <w:r w:rsidR="00B5229F" w:rsidRPr="00316858">
        <w:t>.</w:t>
      </w:r>
      <w:r w:rsidR="00B03C60" w:rsidRPr="00316858">
        <w:t xml:space="preserve"> na vlak</w:t>
      </w:r>
      <w:r w:rsidR="00611973" w:rsidRPr="00316858">
        <w:t>, 27 vlaků</w:t>
      </w:r>
      <w:r w:rsidRPr="00316858">
        <w:t>;</w:t>
      </w:r>
    </w:p>
    <w:p w14:paraId="3BC9781A" w14:textId="1AB938A5" w:rsidR="00636012" w:rsidRPr="00316858" w:rsidRDefault="00240F37" w:rsidP="00563B6D">
      <w:pPr>
        <w:pStyle w:val="Odstavecseseznamem"/>
        <w:numPr>
          <w:ilvl w:val="0"/>
          <w:numId w:val="39"/>
        </w:numPr>
      </w:pPr>
      <w:r w:rsidRPr="00316858">
        <w:t>s</w:t>
      </w:r>
      <w:r w:rsidR="00B03C60" w:rsidRPr="00316858">
        <w:t>távající vlaky jedoucí po celé trati Choceň – Hradec Králové – Velký Osek, uvažujeme využití</w:t>
      </w:r>
      <w:r w:rsidR="00636012" w:rsidRPr="00316858">
        <w:t> běžným nákladem</w:t>
      </w:r>
      <w:r w:rsidR="00611973" w:rsidRPr="00316858">
        <w:t xml:space="preserve"> – 96 km</w:t>
      </w:r>
      <w:r w:rsidR="00B03C60" w:rsidRPr="00316858">
        <w:t xml:space="preserve"> na vlak</w:t>
      </w:r>
      <w:r w:rsidR="00611973" w:rsidRPr="00316858">
        <w:t>, 2,47 hod</w:t>
      </w:r>
      <w:r w:rsidR="00B5229F" w:rsidRPr="00316858">
        <w:t>.</w:t>
      </w:r>
      <w:r w:rsidR="00B03C60" w:rsidRPr="00316858">
        <w:t xml:space="preserve"> na jeden vlak</w:t>
      </w:r>
      <w:r w:rsidR="00611973" w:rsidRPr="00316858">
        <w:t>, 12 vlaků</w:t>
      </w:r>
      <w:r w:rsidRPr="00316858">
        <w:t>;</w:t>
      </w:r>
    </w:p>
    <w:p w14:paraId="3B115B2E" w14:textId="64FA53D7" w:rsidR="00636012" w:rsidRPr="00316858" w:rsidRDefault="00240F37" w:rsidP="00563B6D">
      <w:pPr>
        <w:pStyle w:val="Odstavecseseznamem"/>
        <w:numPr>
          <w:ilvl w:val="0"/>
          <w:numId w:val="39"/>
        </w:numPr>
      </w:pPr>
      <w:r w:rsidRPr="00316858">
        <w:t>s</w:t>
      </w:r>
      <w:r w:rsidR="00B03C60" w:rsidRPr="00316858">
        <w:t>távající vlaky z Mostecka do Elektrárny Opatovice</w:t>
      </w:r>
      <w:r w:rsidRPr="00316858">
        <w:t xml:space="preserve"> a zpět</w:t>
      </w:r>
      <w:r w:rsidR="00B03C60" w:rsidRPr="00316858">
        <w:t xml:space="preserve">, jedoucí po úseku </w:t>
      </w:r>
      <w:proofErr w:type="spellStart"/>
      <w:r w:rsidR="00B03C60" w:rsidRPr="00316858">
        <w:t>odb</w:t>
      </w:r>
      <w:proofErr w:type="spellEnd"/>
      <w:r w:rsidR="00B03C60" w:rsidRPr="00316858">
        <w:t>. Plačice – Velký Osek, uvažujeme ve smyslu Rezortní metodiky zboží</w:t>
      </w:r>
      <w:r w:rsidR="00636012" w:rsidRPr="00316858">
        <w:t xml:space="preserve"> s nízkou přidanou hodnotou – 44,8 km</w:t>
      </w:r>
      <w:r w:rsidRPr="00316858">
        <w:t xml:space="preserve"> na vlak</w:t>
      </w:r>
      <w:r w:rsidR="00636012" w:rsidRPr="00316858">
        <w:t>, 1,45 hod</w:t>
      </w:r>
      <w:r w:rsidRPr="00316858">
        <w:t>. na vlak</w:t>
      </w:r>
      <w:r w:rsidR="00611973" w:rsidRPr="00316858">
        <w:t>, 10 vlaků</w:t>
      </w:r>
      <w:r w:rsidRPr="00316858">
        <w:t>.</w:t>
      </w:r>
    </w:p>
    <w:p w14:paraId="76A77C80" w14:textId="24319D6B" w:rsidR="00636012" w:rsidRPr="008B2379" w:rsidRDefault="00240F37" w:rsidP="00636012">
      <w:r w:rsidRPr="00316858">
        <w:t xml:space="preserve">Obdobně k Podkladové studii uvažujeme s převedenou dopravou ze silnice na vlak, a to v relaci Porůří – severní Morava (Paskov). </w:t>
      </w:r>
      <w:r w:rsidR="00285DF3" w:rsidRPr="00316858">
        <w:t>Pro výpočet nákladů</w:t>
      </w:r>
      <w:r w:rsidR="00636012" w:rsidRPr="00316858">
        <w:t xml:space="preserve"> na provoz silničních vozidel </w:t>
      </w:r>
      <w:r w:rsidR="00285DF3" w:rsidRPr="00316858">
        <w:t xml:space="preserve">byly použity sazby z tab. 8.48 </w:t>
      </w:r>
      <w:r w:rsidR="008B2379" w:rsidRPr="00316858">
        <w:rPr>
          <w:noProof/>
        </w:rPr>
        <w:t xml:space="preserve">Rezortní metodiky </w:t>
      </w:r>
      <w:r w:rsidR="00285DF3" w:rsidRPr="00316858">
        <w:t>upravené na CÚ 2020.</w:t>
      </w:r>
      <w:r w:rsidR="008802B0" w:rsidRPr="00316858">
        <w:t xml:space="preserve"> </w:t>
      </w:r>
      <w:r w:rsidR="008B2379" w:rsidRPr="00316858">
        <w:t>V nákladní dopravě byl</w:t>
      </w:r>
      <w:r w:rsidR="00636012" w:rsidRPr="00316858">
        <w:t xml:space="preserve"> počítán</w:t>
      </w:r>
      <w:r w:rsidRPr="00316858">
        <w:t xml:space="preserve"> počet nákladních aut na jeden vlak</w:t>
      </w:r>
      <w:r w:rsidR="00636012" w:rsidRPr="00316858">
        <w:t xml:space="preserve"> 34,88</w:t>
      </w:r>
      <w:r w:rsidR="008B2379" w:rsidRPr="00316858">
        <w:t xml:space="preserve"> </w:t>
      </w:r>
      <w:r w:rsidR="00636012" w:rsidRPr="00316858">
        <w:t>(600 t/17,2 t),</w:t>
      </w:r>
      <w:r w:rsidRPr="00316858">
        <w:t xml:space="preserve"> provoz</w:t>
      </w:r>
      <w:r w:rsidR="00636012" w:rsidRPr="00316858">
        <w:t xml:space="preserve"> </w:t>
      </w:r>
      <w:r w:rsidR="00636012" w:rsidRPr="008B2379">
        <w:t>365 dní</w:t>
      </w:r>
      <w:r>
        <w:t xml:space="preserve"> v roce</w:t>
      </w:r>
      <w:r w:rsidR="00636012" w:rsidRPr="008B2379">
        <w:t xml:space="preserve">, </w:t>
      </w:r>
      <w:r>
        <w:t xml:space="preserve">délka jízdy nákladního auta </w:t>
      </w:r>
      <w:r w:rsidR="00636012" w:rsidRPr="008B2379">
        <w:t>2 126 km (1 063 km x 2).</w:t>
      </w:r>
    </w:p>
    <w:p w14:paraId="12604293" w14:textId="77777777" w:rsidR="008802B0" w:rsidRDefault="008802B0" w:rsidP="00B866E6"/>
    <w:p w14:paraId="11E6AF7D" w14:textId="77777777" w:rsidR="001F73B9" w:rsidRDefault="001F73B9" w:rsidP="001F73B9">
      <w:pPr>
        <w:pStyle w:val="Nadpis5"/>
      </w:pPr>
      <w:r>
        <w:t>Sazby provozních nákladů vozidel varianty s projektem</w:t>
      </w:r>
    </w:p>
    <w:p w14:paraId="59E6F6B8" w14:textId="443C72D7" w:rsidR="00B866E6" w:rsidRPr="003932DA" w:rsidRDefault="00B866E6" w:rsidP="00B866E6">
      <w:r>
        <w:t>Sazby pro výpočet nákladů</w:t>
      </w:r>
      <w:r w:rsidRPr="003932DA">
        <w:t xml:space="preserve"> na provoz vlaků osobní</w:t>
      </w:r>
      <w:r>
        <w:t xml:space="preserve"> dopravy u </w:t>
      </w:r>
      <w:r w:rsidRPr="003932DA">
        <w:t>projektové varianty</w:t>
      </w:r>
      <w:r>
        <w:t xml:space="preserve"> byly </w:t>
      </w:r>
      <w:r w:rsidR="008802B0">
        <w:t xml:space="preserve">rovněž </w:t>
      </w:r>
      <w:r>
        <w:t xml:space="preserve">převzaty z </w:t>
      </w:r>
      <w:r w:rsidR="00240F37">
        <w:t>ASP</w:t>
      </w:r>
      <w:r>
        <w:t xml:space="preserve"> Kolí</w:t>
      </w:r>
      <w:r w:rsidR="008802B0">
        <w:t>n</w:t>
      </w:r>
      <w:r w:rsidR="00240F37">
        <w:t xml:space="preserve"> – </w:t>
      </w:r>
      <w:r w:rsidR="008802B0">
        <w:t>Děčín. Ve výpočtu jsou</w:t>
      </w:r>
      <w:r>
        <w:t xml:space="preserve"> uvažovány </w:t>
      </w:r>
      <w:r w:rsidR="00240F37">
        <w:t xml:space="preserve">ujeté vzdálenosti v </w:t>
      </w:r>
      <w:r>
        <w:t xml:space="preserve">km, </w:t>
      </w:r>
      <w:r w:rsidR="00240F37">
        <w:t>jízdní doby v</w:t>
      </w:r>
      <w:r w:rsidR="009F5819">
        <w:t> </w:t>
      </w:r>
      <w:r>
        <w:t>hod</w:t>
      </w:r>
      <w:r w:rsidR="00240F37">
        <w:t>inách</w:t>
      </w:r>
      <w:r w:rsidR="009F5819">
        <w:t xml:space="preserve"> a</w:t>
      </w:r>
      <w:r w:rsidR="00240F37">
        <w:t xml:space="preserve"> počty</w:t>
      </w:r>
      <w:r>
        <w:t xml:space="preserve"> vlaků</w:t>
      </w:r>
      <w:r w:rsidR="00240F37">
        <w:t xml:space="preserve"> za den</w:t>
      </w:r>
      <w:r w:rsidR="009F5819">
        <w:t xml:space="preserve"> podle Podkladové studie s odečtením Libické spojky včetně </w:t>
      </w:r>
      <w:proofErr w:type="spellStart"/>
      <w:r w:rsidR="009F5819">
        <w:t>Kanína</w:t>
      </w:r>
      <w:proofErr w:type="spellEnd"/>
      <w:r w:rsidR="009F5819">
        <w:t>. S</w:t>
      </w:r>
      <w:r>
        <w:t>azby</w:t>
      </w:r>
      <w:r w:rsidR="00240F37">
        <w:t xml:space="preserve"> PN</w:t>
      </w:r>
      <w:r w:rsidR="009F5819">
        <w:t xml:space="preserve"> jsou následující</w:t>
      </w:r>
      <w:r>
        <w:t>:</w:t>
      </w:r>
    </w:p>
    <w:p w14:paraId="20FAFD66" w14:textId="62E93675" w:rsidR="00636012" w:rsidRPr="008802B0" w:rsidRDefault="00240F37" w:rsidP="00563B6D">
      <w:pPr>
        <w:pStyle w:val="Odstavecseseznamem"/>
        <w:numPr>
          <w:ilvl w:val="0"/>
          <w:numId w:val="40"/>
        </w:numPr>
      </w:pPr>
      <w:r>
        <w:t xml:space="preserve">Ex + </w:t>
      </w:r>
      <w:r w:rsidR="00636012" w:rsidRPr="008802B0">
        <w:t>R –</w:t>
      </w:r>
      <w:r w:rsidR="009F5819">
        <w:t xml:space="preserve"> </w:t>
      </w:r>
      <w:r w:rsidR="00636012" w:rsidRPr="008802B0">
        <w:t>sazba 48,22 Kč/</w:t>
      </w:r>
      <w:proofErr w:type="spellStart"/>
      <w:r w:rsidR="00636012" w:rsidRPr="008802B0">
        <w:t>vlkm</w:t>
      </w:r>
      <w:proofErr w:type="spellEnd"/>
      <w:r w:rsidR="00636012" w:rsidRPr="008802B0">
        <w:t>, 16 219,69 Kč/</w:t>
      </w:r>
      <w:proofErr w:type="spellStart"/>
      <w:r w:rsidR="00636012" w:rsidRPr="008802B0">
        <w:t>vlhod</w:t>
      </w:r>
      <w:proofErr w:type="spellEnd"/>
      <w:r>
        <w:t>;</w:t>
      </w:r>
    </w:p>
    <w:p w14:paraId="57D7EED2" w14:textId="7E22DDA7" w:rsidR="00636012" w:rsidRPr="008802B0" w:rsidRDefault="00636012" w:rsidP="00563B6D">
      <w:pPr>
        <w:pStyle w:val="Odstavecseseznamem"/>
        <w:numPr>
          <w:ilvl w:val="0"/>
          <w:numId w:val="40"/>
        </w:numPr>
      </w:pPr>
      <w:proofErr w:type="spellStart"/>
      <w:r w:rsidRPr="008802B0">
        <w:t>Sp</w:t>
      </w:r>
      <w:proofErr w:type="spellEnd"/>
      <w:r w:rsidRPr="008802B0">
        <w:t xml:space="preserve"> –</w:t>
      </w:r>
      <w:r w:rsidR="009F5819">
        <w:t xml:space="preserve"> </w:t>
      </w:r>
      <w:r w:rsidRPr="008802B0">
        <w:t>sazba 36,39 Kč/</w:t>
      </w:r>
      <w:proofErr w:type="spellStart"/>
      <w:r w:rsidRPr="008802B0">
        <w:t>vlkm</w:t>
      </w:r>
      <w:proofErr w:type="spellEnd"/>
      <w:r w:rsidRPr="008802B0">
        <w:t>, 6 822,96 Kč/</w:t>
      </w:r>
      <w:proofErr w:type="spellStart"/>
      <w:r w:rsidRPr="008802B0">
        <w:t>vlhod</w:t>
      </w:r>
      <w:proofErr w:type="spellEnd"/>
      <w:r w:rsidR="00240F37">
        <w:t>;</w:t>
      </w:r>
    </w:p>
    <w:p w14:paraId="11F1D40B" w14:textId="1DC5EB24" w:rsidR="00636012" w:rsidRPr="008802B0" w:rsidRDefault="00636012" w:rsidP="00563B6D">
      <w:pPr>
        <w:pStyle w:val="Odstavecseseznamem"/>
        <w:numPr>
          <w:ilvl w:val="0"/>
          <w:numId w:val="40"/>
        </w:numPr>
      </w:pPr>
      <w:r w:rsidRPr="008802B0">
        <w:t>Os –</w:t>
      </w:r>
      <w:r w:rsidR="009F5819">
        <w:t xml:space="preserve"> </w:t>
      </w:r>
      <w:r w:rsidRPr="008802B0">
        <w:t>sazba 10,33 Kč/</w:t>
      </w:r>
      <w:proofErr w:type="spellStart"/>
      <w:r w:rsidRPr="008802B0">
        <w:t>vlkm</w:t>
      </w:r>
      <w:proofErr w:type="spellEnd"/>
      <w:r w:rsidRPr="008802B0">
        <w:t>, 4 106,42 Kč/</w:t>
      </w:r>
      <w:proofErr w:type="spellStart"/>
      <w:r w:rsidRPr="008802B0">
        <w:t>vlhod</w:t>
      </w:r>
      <w:proofErr w:type="spellEnd"/>
      <w:r w:rsidR="00240F37">
        <w:t>.</w:t>
      </w:r>
    </w:p>
    <w:p w14:paraId="0560771A" w14:textId="74011611" w:rsidR="0057703D" w:rsidRDefault="00B866E6" w:rsidP="00636012">
      <w:pPr>
        <w:rPr>
          <w:color w:val="FF0000"/>
        </w:rPr>
      </w:pPr>
      <w:r w:rsidRPr="00285DF3">
        <w:t xml:space="preserve">Sazba pro výpočet nákladů na provoz nákladních vlaků </w:t>
      </w:r>
      <w:r>
        <w:t xml:space="preserve">je shodná s bez projektovou variantou a také </w:t>
      </w:r>
      <w:r w:rsidRPr="00285DF3">
        <w:t>byla převzata</w:t>
      </w:r>
      <w:r>
        <w:t xml:space="preserve"> </w:t>
      </w:r>
      <w:r w:rsidRPr="00706110">
        <w:t xml:space="preserve">z ASP </w:t>
      </w:r>
      <w:r w:rsidR="00706110">
        <w:t>Kolín - Děčín</w:t>
      </w:r>
      <w:r w:rsidR="00706110" w:rsidRPr="00B866E6">
        <w:t xml:space="preserve"> </w:t>
      </w:r>
      <w:r w:rsidRPr="00B866E6">
        <w:t xml:space="preserve">ve výši </w:t>
      </w:r>
      <w:r w:rsidR="00636012" w:rsidRPr="00B866E6">
        <w:t>141,24 Kč/</w:t>
      </w:r>
      <w:proofErr w:type="spellStart"/>
      <w:r w:rsidR="00636012" w:rsidRPr="00B866E6">
        <w:t>vlkm</w:t>
      </w:r>
      <w:proofErr w:type="spellEnd"/>
      <w:r w:rsidR="00636012" w:rsidRPr="00B866E6">
        <w:t>, resp. 4 444,06</w:t>
      </w:r>
      <w:r w:rsidR="00240F37">
        <w:t> </w:t>
      </w:r>
      <w:r w:rsidR="00636012" w:rsidRPr="00B866E6">
        <w:t>Kč/</w:t>
      </w:r>
      <w:proofErr w:type="spellStart"/>
      <w:r w:rsidR="00636012" w:rsidRPr="00B866E6">
        <w:t>vlhod</w:t>
      </w:r>
      <w:proofErr w:type="spellEnd"/>
      <w:r w:rsidRPr="00B866E6">
        <w:t>.</w:t>
      </w:r>
      <w:r w:rsidR="00636012" w:rsidRPr="00400CF8">
        <w:rPr>
          <w:color w:val="FF0000"/>
        </w:rPr>
        <w:t xml:space="preserve"> </w:t>
      </w:r>
    </w:p>
    <w:p w14:paraId="60C5D066" w14:textId="68B876E5" w:rsidR="00CD01E5" w:rsidRPr="0057703D" w:rsidRDefault="00CD01E5" w:rsidP="00636012">
      <w:pPr>
        <w:rPr>
          <w:color w:val="FF0000"/>
        </w:rPr>
      </w:pPr>
      <w:r w:rsidRPr="00CD01E5">
        <w:t xml:space="preserve">Počítány byly následující </w:t>
      </w:r>
      <w:r w:rsidR="00960752">
        <w:t>skupiny vlaků</w:t>
      </w:r>
      <w:r w:rsidRPr="00CD01E5">
        <w:t>:</w:t>
      </w:r>
    </w:p>
    <w:p w14:paraId="1FD8BC7D" w14:textId="740FAB7B" w:rsidR="00636012" w:rsidRPr="00D8193F" w:rsidRDefault="00960752" w:rsidP="00563B6D">
      <w:pPr>
        <w:pStyle w:val="Odstavecseseznamem"/>
        <w:numPr>
          <w:ilvl w:val="0"/>
          <w:numId w:val="41"/>
        </w:numPr>
      </w:pPr>
      <w:r>
        <w:t>vlaky s převedenými přepravami z aut</w:t>
      </w:r>
      <w:r w:rsidR="00636012" w:rsidRPr="00D8193F">
        <w:t>,</w:t>
      </w:r>
      <w:r>
        <w:t xml:space="preserve"> uvažované v relaci Porůří - </w:t>
      </w:r>
      <w:r w:rsidR="00CD01E5" w:rsidRPr="00D8193F">
        <w:t xml:space="preserve">severní Morava </w:t>
      </w:r>
      <w:r>
        <w:t>(</w:t>
      </w:r>
      <w:r w:rsidR="00CD01E5" w:rsidRPr="00D8193F">
        <w:t>P</w:t>
      </w:r>
      <w:r>
        <w:t>askov)</w:t>
      </w:r>
      <w:r w:rsidR="00004099" w:rsidRPr="008E50C0">
        <w:t>,</w:t>
      </w:r>
      <w:r w:rsidRPr="008E50C0">
        <w:t xml:space="preserve"> </w:t>
      </w:r>
      <w:r>
        <w:t>(převedená doprava auto – vlak)</w:t>
      </w:r>
      <w:r w:rsidR="00CD01E5" w:rsidRPr="00D8193F">
        <w:t xml:space="preserve"> </w:t>
      </w:r>
      <w:r w:rsidR="00636012" w:rsidRPr="00D8193F">
        <w:t>– 2 616 km (cesta tam i zpět), 65,38 hod</w:t>
      </w:r>
      <w:r>
        <w:t>.</w:t>
      </w:r>
      <w:r w:rsidR="00636012" w:rsidRPr="00D8193F">
        <w:t>, 1 vlak</w:t>
      </w:r>
      <w:r>
        <w:t xml:space="preserve"> denně</w:t>
      </w:r>
      <w:r w:rsidR="00636012" w:rsidRPr="00D8193F">
        <w:t xml:space="preserve"> podle původní prognózy. </w:t>
      </w:r>
      <w:r>
        <w:t>Možnost a obhajitelnost u</w:t>
      </w:r>
      <w:r w:rsidR="00636012" w:rsidRPr="00D8193F">
        <w:t>važování přínosů na celé délce přepravního ramene</w:t>
      </w:r>
      <w:r>
        <w:t xml:space="preserve"> vychází z</w:t>
      </w:r>
      <w:r w:rsidR="00636012" w:rsidRPr="00D8193F">
        <w:t xml:space="preserve"> aktualizací EH III. TŽK a IV. TŽK, kde byl</w:t>
      </w:r>
      <w:r>
        <w:t xml:space="preserve"> se </w:t>
      </w:r>
      <w:r>
        <w:lastRenderedPageBreak/>
        <w:t>souhlasem iniciativy JASPERS</w:t>
      </w:r>
      <w:r w:rsidR="00636012" w:rsidRPr="00D8193F">
        <w:t xml:space="preserve"> přijat stejný přístup, a bylo dále použito i v EH ZP </w:t>
      </w:r>
      <w:proofErr w:type="spellStart"/>
      <w:r w:rsidR="00636012" w:rsidRPr="00D8193F">
        <w:t>Bezděčínské</w:t>
      </w:r>
      <w:proofErr w:type="spellEnd"/>
      <w:r w:rsidR="00636012" w:rsidRPr="00D8193F">
        <w:t xml:space="preserve"> spojky</w:t>
      </w:r>
      <w:r>
        <w:t>;</w:t>
      </w:r>
    </w:p>
    <w:p w14:paraId="58C3BC4F" w14:textId="4B1046A8" w:rsidR="00636012" w:rsidRPr="00316858" w:rsidRDefault="00960752" w:rsidP="00563B6D">
      <w:pPr>
        <w:pStyle w:val="Odstavecseseznamem"/>
        <w:numPr>
          <w:ilvl w:val="0"/>
          <w:numId w:val="41"/>
        </w:numPr>
      </w:pPr>
      <w:r>
        <w:t xml:space="preserve">vlaky převedené </w:t>
      </w:r>
      <w:r w:rsidR="00636012" w:rsidRPr="00D8193F">
        <w:t>z trati Choceň – Pardubice – Kolín – V</w:t>
      </w:r>
      <w:r>
        <w:t xml:space="preserve">elký </w:t>
      </w:r>
      <w:r w:rsidR="00636012" w:rsidRPr="00D8193F">
        <w:t>O</w:t>
      </w:r>
      <w:r>
        <w:t>sek</w:t>
      </w:r>
      <w:r w:rsidR="00636012" w:rsidRPr="00D8193F">
        <w:t xml:space="preserve"> na</w:t>
      </w:r>
      <w:r>
        <w:t xml:space="preserve"> trať</w:t>
      </w:r>
      <w:r w:rsidR="00636012" w:rsidRPr="00D8193F">
        <w:t xml:space="preserve"> Choceň – H</w:t>
      </w:r>
      <w:r>
        <w:t xml:space="preserve">radec </w:t>
      </w:r>
      <w:r w:rsidR="00636012" w:rsidRPr="00D8193F">
        <w:t>K</w:t>
      </w:r>
      <w:r>
        <w:t>rálové</w:t>
      </w:r>
      <w:r w:rsidR="00636012" w:rsidRPr="00D8193F">
        <w:t xml:space="preserve"> – V</w:t>
      </w:r>
      <w:r>
        <w:t xml:space="preserve">elký </w:t>
      </w:r>
      <w:r w:rsidR="00636012" w:rsidRPr="00D8193F">
        <w:t>O</w:t>
      </w:r>
      <w:r>
        <w:t xml:space="preserve">sek </w:t>
      </w:r>
      <w:r w:rsidRPr="00316858">
        <w:t>(převedená doprava vlak – vlak)</w:t>
      </w:r>
      <w:r w:rsidR="00636012" w:rsidRPr="00316858">
        <w:t xml:space="preserve"> – 96 km, 1 hod, 23 vlaků.</w:t>
      </w:r>
    </w:p>
    <w:p w14:paraId="681C05AD" w14:textId="1426682A" w:rsidR="00636012" w:rsidRPr="00316858" w:rsidRDefault="00960752" w:rsidP="00563B6D">
      <w:pPr>
        <w:pStyle w:val="Odstavecseseznamem"/>
        <w:numPr>
          <w:ilvl w:val="0"/>
          <w:numId w:val="41"/>
        </w:numPr>
      </w:pPr>
      <w:r w:rsidRPr="00316858">
        <w:t>vlaky jedoucí po celé trati Choceň – Hradec Králové – Velký Osek i bez projektu, tzn. zejména vlakotvorba obsluhující Týniště a Hradec Králové. Uvažujeme ve smyslu Rezortní metodiky jako</w:t>
      </w:r>
      <w:r w:rsidR="00636012" w:rsidRPr="00316858">
        <w:t xml:space="preserve"> běžný </w:t>
      </w:r>
      <w:proofErr w:type="gramStart"/>
      <w:r w:rsidR="00636012" w:rsidRPr="00316858">
        <w:t>náklad  –</w:t>
      </w:r>
      <w:proofErr w:type="gramEnd"/>
      <w:r w:rsidR="00636012" w:rsidRPr="00316858">
        <w:t xml:space="preserve"> 96 km</w:t>
      </w:r>
      <w:r w:rsidR="00DD68A9" w:rsidRPr="00316858">
        <w:t xml:space="preserve"> na vlak</w:t>
      </w:r>
      <w:r w:rsidR="00636012" w:rsidRPr="00316858">
        <w:t>, 1,17</w:t>
      </w:r>
      <w:r w:rsidRPr="00316858">
        <w:t xml:space="preserve"> </w:t>
      </w:r>
      <w:r w:rsidR="00636012" w:rsidRPr="00316858">
        <w:t>hod</w:t>
      </w:r>
      <w:r w:rsidRPr="00316858">
        <w:t>.</w:t>
      </w:r>
      <w:r w:rsidR="00DD68A9" w:rsidRPr="00316858">
        <w:t xml:space="preserve"> na vlak</w:t>
      </w:r>
      <w:r w:rsidR="00636012" w:rsidRPr="00316858">
        <w:t>, 12 vlaků</w:t>
      </w:r>
      <w:r w:rsidR="00DD68A9" w:rsidRPr="00316858">
        <w:t xml:space="preserve"> denně</w:t>
      </w:r>
      <w:r w:rsidRPr="00316858">
        <w:t>;</w:t>
      </w:r>
    </w:p>
    <w:p w14:paraId="1612BC08" w14:textId="2076DD70" w:rsidR="00636012" w:rsidRPr="00D8193F" w:rsidRDefault="00960752" w:rsidP="00563B6D">
      <w:pPr>
        <w:pStyle w:val="Odstavecseseznamem"/>
        <w:numPr>
          <w:ilvl w:val="0"/>
          <w:numId w:val="41"/>
        </w:numPr>
      </w:pPr>
      <w:r w:rsidRPr="00316858">
        <w:t xml:space="preserve">vlaky s uhlím do Opatovic a prázdné zpět do revíru, jedoucí po hodnocené </w:t>
      </w:r>
      <w:proofErr w:type="gramStart"/>
      <w:r w:rsidRPr="00316858">
        <w:t xml:space="preserve">trati  </w:t>
      </w:r>
      <w:r w:rsidR="00C46F78" w:rsidRPr="00316858">
        <w:t>z</w:t>
      </w:r>
      <w:proofErr w:type="gramEnd"/>
      <w:r w:rsidR="00C46F78" w:rsidRPr="00316858">
        <w:t> </w:t>
      </w:r>
      <w:proofErr w:type="spellStart"/>
      <w:r w:rsidRPr="00316858">
        <w:t>Kanína</w:t>
      </w:r>
      <w:proofErr w:type="spellEnd"/>
      <w:r w:rsidRPr="00316858">
        <w:t xml:space="preserve"> na </w:t>
      </w:r>
      <w:proofErr w:type="spellStart"/>
      <w:r w:rsidRPr="00316858">
        <w:t>odb</w:t>
      </w:r>
      <w:proofErr w:type="spellEnd"/>
      <w:r w:rsidRPr="00316858">
        <w:t xml:space="preserve">. Plačice. Uvažujeme ve smyslu Rezortní metodiky jako náklad </w:t>
      </w:r>
      <w:r w:rsidR="00636012" w:rsidRPr="00316858">
        <w:t>s nízkou přidanou hodnotou – 44,8 km</w:t>
      </w:r>
      <w:r w:rsidR="00DD68A9" w:rsidRPr="00316858">
        <w:t xml:space="preserve"> na vlak</w:t>
      </w:r>
      <w:r w:rsidR="00636012" w:rsidRPr="00316858">
        <w:t>, 0,5 hod</w:t>
      </w:r>
      <w:r w:rsidR="00DD68A9">
        <w:t>. na vlak</w:t>
      </w:r>
      <w:r w:rsidR="00636012" w:rsidRPr="00D8193F">
        <w:t>, 10 vlaků</w:t>
      </w:r>
      <w:r w:rsidR="00DD68A9">
        <w:t xml:space="preserve"> denně</w:t>
      </w:r>
      <w:r w:rsidR="00636012" w:rsidRPr="00D8193F">
        <w:t>.</w:t>
      </w:r>
    </w:p>
    <w:p w14:paraId="67C42DE2" w14:textId="77777777" w:rsidR="00167561" w:rsidRPr="00D8193F" w:rsidRDefault="00167561" w:rsidP="00636012">
      <w:pPr>
        <w:rPr>
          <w:color w:val="FF0000"/>
        </w:rPr>
      </w:pPr>
    </w:p>
    <w:p w14:paraId="6C213308" w14:textId="77777777" w:rsidR="001560F4" w:rsidRPr="00D8193F" w:rsidRDefault="001560F4" w:rsidP="001560F4">
      <w:pPr>
        <w:pStyle w:val="Nadpis2"/>
      </w:pPr>
      <w:bookmarkStart w:id="10" w:name="_Toc97713489"/>
      <w:r w:rsidRPr="00D8193F">
        <w:t>Úspory času</w:t>
      </w:r>
      <w:bookmarkEnd w:id="10"/>
    </w:p>
    <w:p w14:paraId="50AFA461" w14:textId="7CC638B9" w:rsidR="00400CF8" w:rsidRPr="008E484E" w:rsidRDefault="009F5819" w:rsidP="00400CF8">
      <w:r>
        <w:t>Úspory času vycházejí z Podkladové SP se změnami, které jsou okomentovány v předchozí kapitole</w:t>
      </w:r>
      <w:r w:rsidR="00F955EF">
        <w:t>.</w:t>
      </w:r>
      <w:r>
        <w:t xml:space="preserve"> </w:t>
      </w:r>
      <w:r w:rsidR="00F955EF" w:rsidRPr="000274D4">
        <w:t>P</w:t>
      </w:r>
      <w:r w:rsidR="00D923CD" w:rsidRPr="000274D4">
        <w:t>řepr</w:t>
      </w:r>
      <w:r w:rsidR="00F955EF" w:rsidRPr="000274D4">
        <w:t>avní poptávka</w:t>
      </w:r>
      <w:r w:rsidR="00D923CD" w:rsidRPr="000274D4">
        <w:t xml:space="preserve"> </w:t>
      </w:r>
      <w:r w:rsidR="00F955EF" w:rsidRPr="000274D4">
        <w:t xml:space="preserve">z Podkladové SP nebyla aktualizována o vliv </w:t>
      </w:r>
      <w:r w:rsidR="00D923CD" w:rsidRPr="000274D4">
        <w:t>zkrácení ce</w:t>
      </w:r>
      <w:r w:rsidR="00F955EF" w:rsidRPr="000274D4">
        <w:t>stovních dob, resp. o snížení</w:t>
      </w:r>
      <w:r w:rsidR="00D923CD" w:rsidRPr="000274D4">
        <w:t xml:space="preserve"> provozních nákladů nákladní dopravy</w:t>
      </w:r>
      <w:r w:rsidR="00F955EF" w:rsidRPr="000274D4">
        <w:t>, protože se domníváme, že vliv těchto změn na výsledky přepravní poptávky je relativně omezený, lze případně očekávat</w:t>
      </w:r>
      <w:r w:rsidR="00D923CD" w:rsidRPr="000274D4">
        <w:t xml:space="preserve"> </w:t>
      </w:r>
      <w:r w:rsidR="00F955EF" w:rsidRPr="000274D4">
        <w:t xml:space="preserve">drobné navýšení výkonů v železniční dopravě. Pro jednoznačnost doložení vstupů </w:t>
      </w:r>
      <w:r w:rsidR="00D923CD" w:rsidRPr="000274D4">
        <w:t xml:space="preserve">není </w:t>
      </w:r>
      <w:r w:rsidR="00F955EF" w:rsidRPr="000274D4">
        <w:t>tento vliv ve výpočtu zahrnut</w:t>
      </w:r>
      <w:r w:rsidR="00D923CD" w:rsidRPr="000274D4">
        <w:t xml:space="preserve">, což znamená mírné podhodnocení </w:t>
      </w:r>
      <w:r w:rsidR="00F955EF" w:rsidRPr="000274D4">
        <w:t xml:space="preserve">výsledků </w:t>
      </w:r>
      <w:r w:rsidR="00D923CD" w:rsidRPr="000274D4">
        <w:t>EH, výpočet je tedy</w:t>
      </w:r>
      <w:r w:rsidR="00F955EF" w:rsidRPr="000274D4">
        <w:t xml:space="preserve"> z hlediska socioekonomické obhajitelnosti</w:t>
      </w:r>
      <w:r w:rsidR="00D923CD" w:rsidRPr="000274D4">
        <w:t xml:space="preserve"> na straně bezpečnosti.</w:t>
      </w:r>
      <w:r w:rsidR="00D923CD">
        <w:t xml:space="preserve"> </w:t>
      </w:r>
      <w:r w:rsidR="00F955EF">
        <w:t xml:space="preserve">V předchozí kapitole je rovněž </w:t>
      </w:r>
      <w:r>
        <w:t xml:space="preserve">popsán vztah k </w:t>
      </w:r>
      <w:r w:rsidR="0057703D" w:rsidRPr="00D8193F">
        <w:t xml:space="preserve">ASP Kolín - </w:t>
      </w:r>
      <w:r w:rsidR="0057703D" w:rsidRPr="008E484E">
        <w:t>Děčín</w:t>
      </w:r>
      <w:r w:rsidR="00400CF8" w:rsidRPr="008E484E">
        <w:t>.</w:t>
      </w:r>
    </w:p>
    <w:p w14:paraId="7D41FB6B" w14:textId="77777777" w:rsidR="00400CF8" w:rsidRPr="00400CF8" w:rsidRDefault="008E484E" w:rsidP="00400CF8">
      <w:pPr>
        <w:rPr>
          <w:color w:val="FF0000"/>
        </w:rPr>
      </w:pPr>
      <w:r w:rsidRPr="008E484E">
        <w:t>Benefity z ú</w:t>
      </w:r>
      <w:r w:rsidR="00400CF8" w:rsidRPr="008E484E">
        <w:t xml:space="preserve">spory </w:t>
      </w:r>
      <w:r w:rsidRPr="008E484E">
        <w:t xml:space="preserve">času jsou počítány od roku 2029, kdy </w:t>
      </w:r>
      <w:r>
        <w:t>se předpokládá začátek provozu.</w:t>
      </w:r>
    </w:p>
    <w:p w14:paraId="19E94D3D" w14:textId="66F5A9B9" w:rsidR="001A1D6B" w:rsidRPr="00316858" w:rsidRDefault="00AE0362" w:rsidP="00400CF8">
      <w:r>
        <w:t>Úspory</w:t>
      </w:r>
      <w:r w:rsidR="009F5819">
        <w:t xml:space="preserve"> času</w:t>
      </w:r>
      <w:r>
        <w:t xml:space="preserve"> pro osobní dopravu </w:t>
      </w:r>
      <w:r w:rsidRPr="00316858">
        <w:t>stávající příměstskou byly převzaty</w:t>
      </w:r>
      <w:r w:rsidR="00B866E6" w:rsidRPr="00316858">
        <w:t xml:space="preserve"> z</w:t>
      </w:r>
      <w:r w:rsidR="009F5819" w:rsidRPr="00316858">
        <w:t xml:space="preserve"> Podkladové </w:t>
      </w:r>
      <w:r w:rsidR="00B866E6" w:rsidRPr="00316858">
        <w:t>SP pro variantu A4/B4</w:t>
      </w:r>
      <w:r w:rsidR="009F5819" w:rsidRPr="00316858">
        <w:t xml:space="preserve">, protože pro </w:t>
      </w:r>
      <w:r w:rsidR="009B482B" w:rsidRPr="00316858">
        <w:t xml:space="preserve">Os vlaky měněným úsekem </w:t>
      </w:r>
      <w:proofErr w:type="spellStart"/>
      <w:r w:rsidR="009B482B" w:rsidRPr="00316858">
        <w:t>Kanín</w:t>
      </w:r>
      <w:proofErr w:type="spellEnd"/>
      <w:r w:rsidR="009B482B" w:rsidRPr="00316858">
        <w:t xml:space="preserve"> – Chlumec n. C. nejezdí.</w:t>
      </w:r>
      <w:r w:rsidR="00004099" w:rsidRPr="00316858">
        <w:t xml:space="preserve"> </w:t>
      </w:r>
      <w:r w:rsidRPr="00316858">
        <w:t>Úspory</w:t>
      </w:r>
      <w:r w:rsidR="009F5819" w:rsidRPr="00316858">
        <w:t xml:space="preserve"> času</w:t>
      </w:r>
      <w:r w:rsidRPr="00316858">
        <w:t xml:space="preserve"> pro o</w:t>
      </w:r>
      <w:r w:rsidR="00B866E6" w:rsidRPr="00316858">
        <w:t>sobní doprav</w:t>
      </w:r>
      <w:r w:rsidR="009F5819" w:rsidRPr="00316858">
        <w:t>u</w:t>
      </w:r>
      <w:r w:rsidR="00B866E6" w:rsidRPr="00316858">
        <w:t xml:space="preserve"> stávající dálkov</w:t>
      </w:r>
      <w:r w:rsidR="009F5819" w:rsidRPr="00316858">
        <w:t xml:space="preserve">ou </w:t>
      </w:r>
      <w:r w:rsidR="0085643B" w:rsidRPr="00316858">
        <w:t>vycházejí z varianty A4+B4, ale zohledňují vypuštění úseku s Libickou spojkou a naopak zkrácení jízdních dob díky variantě A5. S</w:t>
      </w:r>
      <w:r w:rsidRPr="00316858">
        <w:t>kládají</w:t>
      </w:r>
      <w:r w:rsidR="0085643B" w:rsidRPr="00316858">
        <w:t xml:space="preserve"> se</w:t>
      </w:r>
      <w:r w:rsidRPr="00316858">
        <w:t xml:space="preserve"> z následujících položek</w:t>
      </w:r>
      <w:r w:rsidR="00400CF8" w:rsidRPr="00316858">
        <w:t xml:space="preserve">: </w:t>
      </w:r>
    </w:p>
    <w:p w14:paraId="2644DAC1" w14:textId="65714C46" w:rsidR="001A1D6B" w:rsidRPr="00316858" w:rsidRDefault="00DC39D2" w:rsidP="001A1D6B">
      <w:pPr>
        <w:pStyle w:val="Odstavecseseznamem"/>
        <w:numPr>
          <w:ilvl w:val="0"/>
          <w:numId w:val="34"/>
        </w:numPr>
      </w:pPr>
      <w:r w:rsidRPr="00316858">
        <w:t>z</w:t>
      </w:r>
      <w:r w:rsidR="0085643B" w:rsidRPr="00316858">
        <w:t> </w:t>
      </w:r>
      <w:r w:rsidR="00400CF8" w:rsidRPr="00316858">
        <w:t>převzaté</w:t>
      </w:r>
      <w:r w:rsidR="0085643B" w:rsidRPr="00316858">
        <w:t xml:space="preserve"> hodnoty</w:t>
      </w:r>
      <w:r w:rsidR="00400CF8" w:rsidRPr="00316858">
        <w:t xml:space="preserve"> z</w:t>
      </w:r>
      <w:r w:rsidR="0085643B" w:rsidRPr="00316858">
        <w:t xml:space="preserve"> Podkladové</w:t>
      </w:r>
      <w:r w:rsidR="00400CF8" w:rsidRPr="00316858">
        <w:t xml:space="preserve"> SP pro variantu A4</w:t>
      </w:r>
      <w:r w:rsidR="0085643B" w:rsidRPr="00316858">
        <w:t>+</w:t>
      </w:r>
      <w:r w:rsidR="00400CF8" w:rsidRPr="00316858">
        <w:t xml:space="preserve">B4, </w:t>
      </w:r>
    </w:p>
    <w:p w14:paraId="3A88DD6E" w14:textId="0B19E4C9" w:rsidR="001A1D6B" w:rsidRPr="00316858" w:rsidRDefault="00DC39D2" w:rsidP="001A1D6B">
      <w:pPr>
        <w:pStyle w:val="Odstavecseseznamem"/>
        <w:numPr>
          <w:ilvl w:val="0"/>
          <w:numId w:val="34"/>
        </w:numPr>
      </w:pPr>
      <w:r w:rsidRPr="00316858">
        <w:t xml:space="preserve">z odečtené </w:t>
      </w:r>
      <w:r w:rsidR="009B482B" w:rsidRPr="00316858">
        <w:t>hodnoty</w:t>
      </w:r>
      <w:r w:rsidR="00400CF8" w:rsidRPr="00316858">
        <w:t xml:space="preserve"> 4 min</w:t>
      </w:r>
      <w:r w:rsidR="009B482B" w:rsidRPr="00316858">
        <w:t xml:space="preserve">. pro vlak R v úseku </w:t>
      </w:r>
      <w:proofErr w:type="spellStart"/>
      <w:r w:rsidR="009B482B" w:rsidRPr="00316858">
        <w:t>Kanín</w:t>
      </w:r>
      <w:proofErr w:type="spellEnd"/>
      <w:r w:rsidR="009B482B" w:rsidRPr="00316858">
        <w:t xml:space="preserve"> – Velký Osek – Libice n. C., a to z důvodu přesunu Libické spojky do ASP Kolín – Děčín. Tato změna se dotkne</w:t>
      </w:r>
      <w:r w:rsidRPr="00316858">
        <w:t xml:space="preserve"> 4</w:t>
      </w:r>
      <w:r w:rsidR="009B482B" w:rsidRPr="00316858">
        <w:t xml:space="preserve"> </w:t>
      </w:r>
      <w:r w:rsidRPr="00316858">
        <w:t>850 lidí</w:t>
      </w:r>
      <w:r w:rsidR="009B482B" w:rsidRPr="00316858">
        <w:t xml:space="preserve"> denně, kteří jedou vlaky R již ve variantě bez projektu. U převedených cestujících </w:t>
      </w:r>
      <w:r w:rsidR="00C46F78" w:rsidRPr="00316858">
        <w:t>z </w:t>
      </w:r>
      <w:r w:rsidR="009B482B" w:rsidRPr="00316858">
        <w:t>aut ke změně započtení nedojde, protože shodně s Podkladovou SP jsou tito cestující přínosem pro EH Velký Osek – Hradec Králové – Choceň z celé délky trasy expresu z Prahy do Hradce Králové,</w:t>
      </w:r>
      <w:r w:rsidR="00400CF8" w:rsidRPr="00316858">
        <w:t xml:space="preserve"> </w:t>
      </w:r>
    </w:p>
    <w:p w14:paraId="2FA38B18" w14:textId="2514A6CD" w:rsidR="001A1D6B" w:rsidRPr="00316858" w:rsidRDefault="00AE0362" w:rsidP="001A20A1">
      <w:pPr>
        <w:pStyle w:val="Odstavecseseznamem"/>
        <w:numPr>
          <w:ilvl w:val="0"/>
          <w:numId w:val="34"/>
        </w:numPr>
      </w:pPr>
      <w:r w:rsidRPr="00316858">
        <w:t xml:space="preserve">z </w:t>
      </w:r>
      <w:r w:rsidR="00DC39D2" w:rsidRPr="00316858">
        <w:t>přičtené úspory</w:t>
      </w:r>
      <w:r w:rsidR="00400CF8" w:rsidRPr="00316858">
        <w:t xml:space="preserve"> z porovnání A4/A5 - </w:t>
      </w:r>
      <w:r w:rsidR="00400CF8" w:rsidRPr="00316858">
        <w:rPr>
          <w:szCs w:val="20"/>
        </w:rPr>
        <w:t>z důvodu vyšší návrhové rychlosti</w:t>
      </w:r>
      <w:r w:rsidR="009B482B" w:rsidRPr="00316858">
        <w:rPr>
          <w:szCs w:val="20"/>
        </w:rPr>
        <w:t xml:space="preserve"> a tedy kratších jízdních dob</w:t>
      </w:r>
      <w:r w:rsidR="00400CF8" w:rsidRPr="00316858">
        <w:rPr>
          <w:szCs w:val="20"/>
        </w:rPr>
        <w:t xml:space="preserve"> varianty A5 v DÚR proti řešení z </w:t>
      </w:r>
      <w:r w:rsidR="009B482B" w:rsidRPr="00316858">
        <w:rPr>
          <w:szCs w:val="20"/>
        </w:rPr>
        <w:t xml:space="preserve">Podkladové </w:t>
      </w:r>
      <w:r w:rsidR="00400CF8" w:rsidRPr="00316858">
        <w:rPr>
          <w:szCs w:val="20"/>
        </w:rPr>
        <w:t>SP (=A4)</w:t>
      </w:r>
      <w:r w:rsidR="009B482B" w:rsidRPr="00316858">
        <w:rPr>
          <w:szCs w:val="20"/>
        </w:rPr>
        <w:t>. Jde o</w:t>
      </w:r>
      <w:r w:rsidR="00B45260">
        <w:rPr>
          <w:szCs w:val="20"/>
        </w:rPr>
        <w:t> </w:t>
      </w:r>
      <w:r w:rsidR="009B482B" w:rsidRPr="00316858">
        <w:rPr>
          <w:szCs w:val="20"/>
        </w:rPr>
        <w:t>vlaky</w:t>
      </w:r>
      <w:r w:rsidR="00400CF8" w:rsidRPr="00316858">
        <w:rPr>
          <w:szCs w:val="20"/>
        </w:rPr>
        <w:t xml:space="preserve"> </w:t>
      </w:r>
      <w:r w:rsidR="00DC39D2" w:rsidRPr="00316858">
        <w:rPr>
          <w:szCs w:val="20"/>
        </w:rPr>
        <w:t>Ex</w:t>
      </w:r>
      <w:r w:rsidR="009B482B" w:rsidRPr="00316858">
        <w:rPr>
          <w:szCs w:val="20"/>
        </w:rPr>
        <w:t>, které využije denně</w:t>
      </w:r>
      <w:r w:rsidR="00DC39D2" w:rsidRPr="00316858">
        <w:rPr>
          <w:szCs w:val="20"/>
        </w:rPr>
        <w:t xml:space="preserve"> 3900 osob,</w:t>
      </w:r>
      <w:r w:rsidR="009B482B" w:rsidRPr="00316858">
        <w:rPr>
          <w:szCs w:val="20"/>
        </w:rPr>
        <w:t xml:space="preserve"> o</w:t>
      </w:r>
      <w:r w:rsidR="00DC39D2" w:rsidRPr="00316858">
        <w:rPr>
          <w:szCs w:val="20"/>
        </w:rPr>
        <w:t xml:space="preserve"> 2 minuty</w:t>
      </w:r>
      <w:r w:rsidR="009B482B" w:rsidRPr="00316858">
        <w:rPr>
          <w:szCs w:val="20"/>
        </w:rPr>
        <w:t>, dále pro vlaky</w:t>
      </w:r>
      <w:r w:rsidR="00DC39D2" w:rsidRPr="00316858">
        <w:rPr>
          <w:szCs w:val="20"/>
        </w:rPr>
        <w:t xml:space="preserve"> </w:t>
      </w:r>
      <w:r w:rsidR="00400CF8" w:rsidRPr="00316858">
        <w:rPr>
          <w:szCs w:val="20"/>
        </w:rPr>
        <w:t>R</w:t>
      </w:r>
      <w:r w:rsidR="009B482B" w:rsidRPr="00316858">
        <w:rPr>
          <w:szCs w:val="20"/>
        </w:rPr>
        <w:t>, které využije denně</w:t>
      </w:r>
      <w:r w:rsidR="00400CF8" w:rsidRPr="00316858">
        <w:rPr>
          <w:szCs w:val="20"/>
        </w:rPr>
        <w:t xml:space="preserve"> 1800 osob, </w:t>
      </w:r>
      <w:r w:rsidR="009B482B" w:rsidRPr="00316858">
        <w:rPr>
          <w:szCs w:val="20"/>
        </w:rPr>
        <w:t xml:space="preserve">o </w:t>
      </w:r>
      <w:r w:rsidR="00400CF8" w:rsidRPr="00316858">
        <w:rPr>
          <w:szCs w:val="20"/>
        </w:rPr>
        <w:t>2 minuty,</w:t>
      </w:r>
      <w:r w:rsidR="009B482B" w:rsidRPr="00316858">
        <w:rPr>
          <w:szCs w:val="20"/>
        </w:rPr>
        <w:t xml:space="preserve"> a konečně pro vlaky</w:t>
      </w:r>
      <w:r w:rsidR="00400CF8" w:rsidRPr="00316858">
        <w:rPr>
          <w:szCs w:val="20"/>
        </w:rPr>
        <w:t xml:space="preserve"> </w:t>
      </w:r>
      <w:proofErr w:type="spellStart"/>
      <w:r w:rsidR="00400CF8" w:rsidRPr="00316858">
        <w:rPr>
          <w:szCs w:val="20"/>
        </w:rPr>
        <w:t>Sp</w:t>
      </w:r>
      <w:proofErr w:type="spellEnd"/>
      <w:r w:rsidR="009B482B" w:rsidRPr="00316858">
        <w:rPr>
          <w:szCs w:val="20"/>
        </w:rPr>
        <w:t>, které využije denně</w:t>
      </w:r>
      <w:r w:rsidR="00400CF8" w:rsidRPr="00316858">
        <w:rPr>
          <w:szCs w:val="20"/>
        </w:rPr>
        <w:t xml:space="preserve"> 400 osob,</w:t>
      </w:r>
      <w:r w:rsidR="009B482B" w:rsidRPr="00316858">
        <w:rPr>
          <w:szCs w:val="20"/>
        </w:rPr>
        <w:t xml:space="preserve"> o</w:t>
      </w:r>
      <w:r w:rsidR="00400CF8" w:rsidRPr="00316858">
        <w:rPr>
          <w:szCs w:val="20"/>
        </w:rPr>
        <w:t xml:space="preserve"> 0,5 minuty</w:t>
      </w:r>
      <w:r w:rsidR="009B482B" w:rsidRPr="00316858">
        <w:rPr>
          <w:szCs w:val="20"/>
        </w:rPr>
        <w:t>.</w:t>
      </w:r>
    </w:p>
    <w:p w14:paraId="301BF229" w14:textId="3A069AF3" w:rsidR="00400CF8" w:rsidRPr="00316858" w:rsidRDefault="001A1D6B" w:rsidP="001A20A1">
      <w:pPr>
        <w:spacing w:after="200" w:line="276" w:lineRule="auto"/>
      </w:pPr>
      <w:r w:rsidRPr="00316858">
        <w:t>Hodnoty pro indukovanou dopravu osobní dálkovou a převedenou dopravu osobní IAD, osobní vlak a osobní BUS byly také</w:t>
      </w:r>
      <w:r w:rsidR="00400CF8" w:rsidRPr="00316858">
        <w:t xml:space="preserve"> převz</w:t>
      </w:r>
      <w:r w:rsidRPr="00316858">
        <w:t>aty</w:t>
      </w:r>
      <w:r w:rsidR="00400CF8" w:rsidRPr="00316858">
        <w:t xml:space="preserve"> z </w:t>
      </w:r>
      <w:r w:rsidR="009B482B" w:rsidRPr="00316858">
        <w:t xml:space="preserve">Podkladové </w:t>
      </w:r>
      <w:r w:rsidR="00400CF8" w:rsidRPr="00316858">
        <w:t>SP z varianty A4/B4.</w:t>
      </w:r>
    </w:p>
    <w:p w14:paraId="3B25CB96" w14:textId="2654BAA2" w:rsidR="00400CF8" w:rsidRDefault="00400CF8" w:rsidP="00400CF8">
      <w:r w:rsidRPr="00316858">
        <w:t>Nákladní doprava</w:t>
      </w:r>
      <w:r w:rsidR="00244614" w:rsidRPr="00316858">
        <w:t xml:space="preserve"> s</w:t>
      </w:r>
      <w:r w:rsidRPr="00316858">
        <w:t xml:space="preserve">távající dálková </w:t>
      </w:r>
      <w:r w:rsidR="00AE0362" w:rsidRPr="00316858">
        <w:t xml:space="preserve">byla počítána pro dva </w:t>
      </w:r>
      <w:r w:rsidR="008B4BDD" w:rsidRPr="00316858">
        <w:t>druhy nákladu</w:t>
      </w:r>
      <w:r w:rsidR="00AE0362" w:rsidRPr="00316858">
        <w:t xml:space="preserve"> - s nízkou přidanou hodnotou a b</w:t>
      </w:r>
      <w:r w:rsidR="008B4BDD" w:rsidRPr="00316858">
        <w:t>ěžný náklad</w:t>
      </w:r>
      <w:r w:rsidR="00AE0362" w:rsidRPr="00316858">
        <w:t>.</w:t>
      </w:r>
      <w:r w:rsidR="008B4BDD" w:rsidRPr="00316858">
        <w:t xml:space="preserve"> </w:t>
      </w:r>
      <w:r w:rsidR="00244614" w:rsidRPr="00316858">
        <w:t>Nákladní doprava převedená dálková</w:t>
      </w:r>
      <w:r w:rsidR="008B4BDD" w:rsidRPr="00316858">
        <w:t xml:space="preserve"> bere v</w:t>
      </w:r>
      <w:r w:rsidR="009B482B" w:rsidRPr="00316858">
        <w:t> </w:t>
      </w:r>
      <w:r w:rsidR="008B4BDD" w:rsidRPr="00316858">
        <w:t>úvahu</w:t>
      </w:r>
      <w:r w:rsidR="009B482B" w:rsidRPr="00316858">
        <w:t xml:space="preserve"> stávající nákladní vlaky, dále</w:t>
      </w:r>
      <w:r w:rsidR="008B4BDD" w:rsidRPr="00316858">
        <w:t xml:space="preserve"> vlak</w:t>
      </w:r>
      <w:r w:rsidR="009B482B" w:rsidRPr="00316858">
        <w:t>y se zbožím převedeným</w:t>
      </w:r>
      <w:r w:rsidR="008B4BDD" w:rsidRPr="00316858">
        <w:t xml:space="preserve"> z aut </w:t>
      </w:r>
      <w:r w:rsidR="009B482B" w:rsidRPr="00316858">
        <w:t xml:space="preserve">na </w:t>
      </w:r>
      <w:r w:rsidR="008B4BDD" w:rsidRPr="00316858">
        <w:t>tras</w:t>
      </w:r>
      <w:r w:rsidR="009B482B" w:rsidRPr="00316858">
        <w:t>e</w:t>
      </w:r>
      <w:r w:rsidR="008B4BDD" w:rsidRPr="00316858">
        <w:t xml:space="preserve"> severní Morava – Porůří</w:t>
      </w:r>
      <w:r w:rsidR="009B482B" w:rsidRPr="00316858">
        <w:t xml:space="preserve"> (auto – vlak)</w:t>
      </w:r>
      <w:r w:rsidR="008B4BDD" w:rsidRPr="00316858">
        <w:t xml:space="preserve"> a</w:t>
      </w:r>
      <w:r w:rsidR="00B45260">
        <w:t> </w:t>
      </w:r>
      <w:r w:rsidR="009B482B" w:rsidRPr="00316858">
        <w:t xml:space="preserve">dále </w:t>
      </w:r>
      <w:r w:rsidRPr="00316858">
        <w:t>převeden</w:t>
      </w:r>
      <w:r w:rsidR="009B482B" w:rsidRPr="00316858">
        <w:t>é</w:t>
      </w:r>
      <w:r w:rsidRPr="00316858">
        <w:t xml:space="preserve"> vlak</w:t>
      </w:r>
      <w:r w:rsidR="009B482B" w:rsidRPr="00316858">
        <w:t>y z trati přes Pardubice na trať přes Hradec Králové</w:t>
      </w:r>
      <w:r w:rsidR="00D723F2" w:rsidRPr="00316858">
        <w:t xml:space="preserve"> (vlak</w:t>
      </w:r>
      <w:r w:rsidR="009B482B" w:rsidRPr="00316858">
        <w:t xml:space="preserve"> </w:t>
      </w:r>
      <w:r w:rsidR="00D723F2" w:rsidRPr="00316858">
        <w:t>-</w:t>
      </w:r>
      <w:r w:rsidR="009B482B" w:rsidRPr="00316858">
        <w:t xml:space="preserve"> </w:t>
      </w:r>
      <w:r w:rsidR="00D723F2" w:rsidRPr="00316858">
        <w:t>vlak).</w:t>
      </w:r>
      <w:r w:rsidRPr="00316858">
        <w:t xml:space="preserve"> </w:t>
      </w:r>
    </w:p>
    <w:p w14:paraId="0A0EED4D" w14:textId="77777777" w:rsidR="004B68DA" w:rsidRPr="00316858" w:rsidRDefault="004B68DA" w:rsidP="00400CF8"/>
    <w:p w14:paraId="34001847" w14:textId="77777777" w:rsidR="00717B92" w:rsidRPr="00167561" w:rsidRDefault="001560F4" w:rsidP="00717B92">
      <w:pPr>
        <w:pStyle w:val="Nadpis2"/>
      </w:pPr>
      <w:bookmarkStart w:id="11" w:name="_Toc97713490"/>
      <w:r>
        <w:lastRenderedPageBreak/>
        <w:t>Externality</w:t>
      </w:r>
      <w:bookmarkEnd w:id="11"/>
    </w:p>
    <w:p w14:paraId="02B02D05" w14:textId="77777777" w:rsidR="00031814" w:rsidRDefault="00031814" w:rsidP="00031814">
      <w:pPr>
        <w:rPr>
          <w:rFonts w:ascii="Verdana" w:hAnsi="Verdana"/>
          <w:color w:val="000000" w:themeColor="text1"/>
          <w:sz w:val="20"/>
        </w:rPr>
      </w:pPr>
      <w:r w:rsidRPr="00031814">
        <w:rPr>
          <w:rFonts w:ascii="Verdana" w:hAnsi="Verdana"/>
          <w:color w:val="000000" w:themeColor="text1"/>
        </w:rPr>
        <w:t xml:space="preserve">Byly aktualizovány dle aktuálně spočtených výkonových charakteristik </w:t>
      </w:r>
      <w:proofErr w:type="spellStart"/>
      <w:r w:rsidRPr="00031814">
        <w:rPr>
          <w:rFonts w:ascii="Verdana" w:hAnsi="Verdana"/>
          <w:color w:val="000000" w:themeColor="text1"/>
        </w:rPr>
        <w:t>ponásobených</w:t>
      </w:r>
      <w:proofErr w:type="spellEnd"/>
      <w:r w:rsidRPr="00031814">
        <w:rPr>
          <w:rFonts w:ascii="Verdana" w:hAnsi="Verdana"/>
          <w:color w:val="000000" w:themeColor="text1"/>
        </w:rPr>
        <w:t xml:space="preserve"> sazbami z rezortní metodiky.</w:t>
      </w:r>
    </w:p>
    <w:p w14:paraId="2E03B1A6" w14:textId="77777777" w:rsidR="00717B92" w:rsidRDefault="00717B92" w:rsidP="00717B92">
      <w:pPr>
        <w:pStyle w:val="Nadpis2"/>
      </w:pPr>
      <w:bookmarkStart w:id="12" w:name="_Toc97713491"/>
      <w:r>
        <w:t>Příjmy</w:t>
      </w:r>
      <w:bookmarkEnd w:id="12"/>
    </w:p>
    <w:p w14:paraId="5EC2E773" w14:textId="40C7AE6F" w:rsidR="00717B92" w:rsidRPr="00F853BE" w:rsidRDefault="00717B92" w:rsidP="00F46E66">
      <w:r>
        <w:t xml:space="preserve">Osobní a nákladní doprava je počítána z aktuálních </w:t>
      </w:r>
      <w:proofErr w:type="spellStart"/>
      <w:r>
        <w:t>vlkm</w:t>
      </w:r>
      <w:proofErr w:type="spellEnd"/>
      <w:r>
        <w:t xml:space="preserve"> uvedených v tabulkách PN vozidel. U</w:t>
      </w:r>
      <w:r w:rsidR="009B482B">
        <w:t> </w:t>
      </w:r>
      <w:r>
        <w:t xml:space="preserve">postrkové lokomotivy je uvažováno pouze s ½ </w:t>
      </w:r>
      <w:proofErr w:type="spellStart"/>
      <w:r>
        <w:t>vlkm</w:t>
      </w:r>
      <w:proofErr w:type="spellEnd"/>
      <w:r>
        <w:t>, kdy tato lokomotiva není přivěšená na vlak</w:t>
      </w:r>
      <w:r w:rsidR="00BA476F">
        <w:t xml:space="preserve"> (vrací se </w:t>
      </w:r>
      <w:proofErr w:type="spellStart"/>
      <w:r w:rsidR="00BA476F">
        <w:t>Lv</w:t>
      </w:r>
      <w:proofErr w:type="spellEnd"/>
      <w:r w:rsidR="00BA476F">
        <w:t xml:space="preserve"> zpět)</w:t>
      </w:r>
      <w:r>
        <w:t>.</w:t>
      </w:r>
    </w:p>
    <w:p w14:paraId="7635FED1" w14:textId="77777777" w:rsidR="001560F4" w:rsidRDefault="001560F4" w:rsidP="001560F4">
      <w:pPr>
        <w:pStyle w:val="Nadpis2"/>
      </w:pPr>
      <w:bookmarkStart w:id="13" w:name="_Toc97713492"/>
      <w:r>
        <w:t>Ostatní přínosy EA</w:t>
      </w:r>
      <w:bookmarkEnd w:id="13"/>
    </w:p>
    <w:p w14:paraId="107D822D" w14:textId="7A0D5B9F" w:rsidR="00400CF8" w:rsidRPr="004E47A8" w:rsidRDefault="004E47A8" w:rsidP="00400CF8">
      <w:r>
        <w:t xml:space="preserve">Do ostatních přínosů EA byly zahrnuty přínosy z náhrad železničních přejezdů. </w:t>
      </w:r>
      <w:r w:rsidR="00400CF8" w:rsidRPr="004E47A8">
        <w:t xml:space="preserve">Rozsah náhrad a změny zabezpečení přejezdů </w:t>
      </w:r>
      <w:r w:rsidRPr="004E47A8">
        <w:t xml:space="preserve">byly </w:t>
      </w:r>
      <w:r w:rsidR="00400CF8" w:rsidRPr="004E47A8">
        <w:t>převzat</w:t>
      </w:r>
      <w:r w:rsidRPr="004E47A8">
        <w:t>y</w:t>
      </w:r>
      <w:r w:rsidR="00400CF8" w:rsidRPr="004E47A8">
        <w:t xml:space="preserve"> z jednotlivých DÚR, včetně investičních nákladů. Do EH </w:t>
      </w:r>
      <w:r w:rsidRPr="004E47A8">
        <w:t xml:space="preserve">byly </w:t>
      </w:r>
      <w:r w:rsidR="00400CF8" w:rsidRPr="004E47A8">
        <w:t>započteny IN, přínosy z úspor času silniční dopravy z čekání před přejezdy a přínos z bezpečnosti z odstraněných přejezdů; intenzity silniční dopravy jsou přebírány z podkladů ŘSD, z původních DÚR</w:t>
      </w:r>
      <w:r w:rsidR="009B482B">
        <w:t xml:space="preserve"> (hodnoty získány sčítáním dopravy)</w:t>
      </w:r>
      <w:r w:rsidR="00400CF8" w:rsidRPr="004E47A8">
        <w:t xml:space="preserve"> a </w:t>
      </w:r>
      <w:r w:rsidR="009B482B">
        <w:t>při nedostupnosti jiných zdrojů též</w:t>
      </w:r>
      <w:r w:rsidR="00517000">
        <w:t xml:space="preserve"> </w:t>
      </w:r>
      <w:r w:rsidR="00400CF8" w:rsidRPr="004E47A8">
        <w:t>z karet přejezdů.</w:t>
      </w:r>
    </w:p>
    <w:p w14:paraId="39F7C1B4" w14:textId="77777777" w:rsidR="00400CF8" w:rsidRDefault="00400CF8" w:rsidP="00F46E66"/>
    <w:p w14:paraId="70CEE98F" w14:textId="77777777" w:rsidR="00400CF8" w:rsidRDefault="00400CF8" w:rsidP="00F46E66"/>
    <w:p w14:paraId="4CE3049D" w14:textId="77777777" w:rsidR="00366A5B" w:rsidRDefault="00366A5B" w:rsidP="00F46E66"/>
    <w:p w14:paraId="3C34EA01" w14:textId="77777777" w:rsidR="00366A5B" w:rsidRPr="00366A5B" w:rsidRDefault="00366A5B" w:rsidP="00366A5B"/>
    <w:p w14:paraId="55020293" w14:textId="77777777" w:rsidR="00366A5B" w:rsidRPr="00366A5B" w:rsidRDefault="00366A5B" w:rsidP="00366A5B"/>
    <w:p w14:paraId="4929B5EA" w14:textId="77777777" w:rsidR="00976CB7" w:rsidRDefault="00976CB7" w:rsidP="005E1491">
      <w:r>
        <w:br w:type="page"/>
      </w:r>
    </w:p>
    <w:p w14:paraId="6034BD27" w14:textId="77777777" w:rsidR="00976CB7" w:rsidRDefault="00976CB7" w:rsidP="005E1491"/>
    <w:p w14:paraId="624977A1" w14:textId="77777777" w:rsidR="006D5700" w:rsidRDefault="009157A0" w:rsidP="00886B8E">
      <w:pPr>
        <w:pStyle w:val="Nadpis1"/>
        <w:ind w:left="431" w:hanging="431"/>
      </w:pPr>
      <w:bookmarkStart w:id="14" w:name="_Toc97713493"/>
      <w:r>
        <w:t>Investiční náklady a zůstatková hodnota</w:t>
      </w:r>
      <w:bookmarkEnd w:id="14"/>
    </w:p>
    <w:p w14:paraId="377F3BFF" w14:textId="77777777" w:rsidR="00077F33" w:rsidRPr="00077F33" w:rsidRDefault="00077F33" w:rsidP="00077F33"/>
    <w:p w14:paraId="272D7DAE" w14:textId="77777777" w:rsidR="007265A9" w:rsidRDefault="007265A9" w:rsidP="00D749D3">
      <w:pPr>
        <w:pStyle w:val="Titulek"/>
        <w:keepNext/>
        <w:keepLines/>
        <w:jc w:val="center"/>
      </w:pPr>
      <w:r>
        <w:t xml:space="preserve">Tabulka </w:t>
      </w:r>
      <w:r w:rsidR="00BD2EBB">
        <w:t>2</w:t>
      </w:r>
      <w:r w:rsidR="00D749D3">
        <w:t>:</w:t>
      </w:r>
      <w:r>
        <w:t xml:space="preserve"> </w:t>
      </w:r>
      <w:r w:rsidR="00D749D3">
        <w:t>Celkové investiční náklady (CÚ 2020)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337"/>
        <w:gridCol w:w="4337"/>
      </w:tblGrid>
      <w:tr w:rsidR="00254350" w:rsidRPr="00331E6D" w14:paraId="200E841E" w14:textId="77777777" w:rsidTr="00CB06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73B4019" w14:textId="77777777" w:rsidR="00254350" w:rsidRPr="00331E6D" w:rsidRDefault="00254350" w:rsidP="008802B0">
            <w:pPr>
              <w:keepNext/>
              <w:keepLines/>
            </w:pPr>
            <w:r>
              <w:t>Rozdělení nákladů</w:t>
            </w:r>
          </w:p>
        </w:tc>
        <w:tc>
          <w:tcPr>
            <w:tcW w:w="2500" w:type="pct"/>
            <w:vAlign w:val="center"/>
          </w:tcPr>
          <w:p w14:paraId="5716C849" w14:textId="77777777" w:rsidR="00254350" w:rsidRPr="00331E6D" w:rsidRDefault="00254350" w:rsidP="008802B0">
            <w:pPr>
              <w:keepNext/>
              <w:keepLines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4350" w:rsidRPr="00331E6D" w14:paraId="5F479773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67EF4671" w14:textId="77777777" w:rsidR="00254350" w:rsidRPr="00331E6D" w:rsidRDefault="00254350" w:rsidP="008802B0">
            <w:pPr>
              <w:keepNext/>
              <w:keepLines/>
            </w:pPr>
            <w:r>
              <w:t>Projektová dokumentace</w:t>
            </w:r>
          </w:p>
        </w:tc>
        <w:tc>
          <w:tcPr>
            <w:tcW w:w="2500" w:type="pct"/>
            <w:vAlign w:val="center"/>
          </w:tcPr>
          <w:p w14:paraId="616E4B32" w14:textId="77777777" w:rsidR="00254350" w:rsidRPr="008F2777" w:rsidRDefault="00241715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1715">
              <w:t>1 244 806 162</w:t>
            </w:r>
          </w:p>
        </w:tc>
      </w:tr>
      <w:tr w:rsidR="00254350" w:rsidRPr="00331E6D" w14:paraId="3628D7D6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588A1242" w14:textId="77777777" w:rsidR="00254350" w:rsidRPr="00331E6D" w:rsidRDefault="00254350" w:rsidP="008802B0">
            <w:pPr>
              <w:keepNext/>
              <w:keepLines/>
            </w:pPr>
            <w:r>
              <w:t>Zábory a nákupy pozemků</w:t>
            </w:r>
          </w:p>
        </w:tc>
        <w:tc>
          <w:tcPr>
            <w:tcW w:w="2500" w:type="pct"/>
            <w:vAlign w:val="center"/>
          </w:tcPr>
          <w:p w14:paraId="43EB5501" w14:textId="77777777" w:rsidR="00254350" w:rsidRPr="008F2777" w:rsidRDefault="00241715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1715">
              <w:t>822 887 602</w:t>
            </w:r>
          </w:p>
        </w:tc>
      </w:tr>
      <w:tr w:rsidR="00254350" w:rsidRPr="00331E6D" w14:paraId="46831845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57ED09BA" w14:textId="77777777" w:rsidR="00254350" w:rsidRPr="000F5C9C" w:rsidRDefault="00254350" w:rsidP="008802B0">
            <w:pPr>
              <w:keepNext/>
              <w:keepLines/>
            </w:pPr>
            <w:r w:rsidRPr="000F5C9C">
              <w:t>Stavby a konstrukce (stavební náklady)</w:t>
            </w:r>
          </w:p>
        </w:tc>
        <w:tc>
          <w:tcPr>
            <w:tcW w:w="2500" w:type="pct"/>
            <w:vAlign w:val="center"/>
          </w:tcPr>
          <w:p w14:paraId="3B9B0E5F" w14:textId="77777777" w:rsidR="00254350" w:rsidRPr="008F2777" w:rsidRDefault="00241715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1715">
              <w:t>24 968 558 936</w:t>
            </w:r>
          </w:p>
        </w:tc>
      </w:tr>
      <w:tr w:rsidR="00254350" w:rsidRPr="00331E6D" w14:paraId="03AD7305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2E46ED07" w14:textId="77777777" w:rsidR="00254350" w:rsidRPr="000F5C9C" w:rsidRDefault="00254350" w:rsidP="008802B0">
            <w:pPr>
              <w:keepNext/>
              <w:keepLines/>
            </w:pPr>
            <w:r w:rsidRPr="000F5C9C">
              <w:t>Stroje a zařízení</w:t>
            </w:r>
          </w:p>
        </w:tc>
        <w:tc>
          <w:tcPr>
            <w:tcW w:w="2500" w:type="pct"/>
            <w:vAlign w:val="center"/>
          </w:tcPr>
          <w:p w14:paraId="71FFF6D6" w14:textId="77777777" w:rsidR="00254350" w:rsidRPr="008F2777" w:rsidRDefault="00254350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2777">
              <w:t>0</w:t>
            </w:r>
          </w:p>
        </w:tc>
      </w:tr>
      <w:tr w:rsidR="00254350" w:rsidRPr="00331E6D" w14:paraId="0BB453A5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30224349" w14:textId="77777777" w:rsidR="00254350" w:rsidRPr="000F5C9C" w:rsidRDefault="00254350" w:rsidP="008802B0">
            <w:pPr>
              <w:keepNext/>
              <w:keepLines/>
            </w:pPr>
            <w:r w:rsidRPr="000F5C9C">
              <w:t>Technická asistence, propagace</w:t>
            </w:r>
          </w:p>
        </w:tc>
        <w:tc>
          <w:tcPr>
            <w:tcW w:w="2500" w:type="pct"/>
            <w:vAlign w:val="center"/>
          </w:tcPr>
          <w:p w14:paraId="2D7C1166" w14:textId="77777777" w:rsidR="00254350" w:rsidRPr="008F2777" w:rsidRDefault="00241715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1715">
              <w:t>761 059 631</w:t>
            </w:r>
          </w:p>
        </w:tc>
      </w:tr>
      <w:tr w:rsidR="00254350" w:rsidRPr="00331E6D" w14:paraId="29C45D36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FF98F66" w14:textId="77777777" w:rsidR="00254350" w:rsidRPr="000F5C9C" w:rsidRDefault="00254350" w:rsidP="008802B0">
            <w:pPr>
              <w:keepNext/>
              <w:keepLines/>
            </w:pPr>
            <w:r w:rsidRPr="000F5C9C">
              <w:t>Technický dozor</w:t>
            </w:r>
          </w:p>
        </w:tc>
        <w:tc>
          <w:tcPr>
            <w:tcW w:w="2500" w:type="pct"/>
            <w:vAlign w:val="center"/>
          </w:tcPr>
          <w:p w14:paraId="43FF0735" w14:textId="77777777" w:rsidR="00254350" w:rsidRPr="008F2777" w:rsidRDefault="00241715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1715">
              <w:t>132 339 761</w:t>
            </w:r>
          </w:p>
        </w:tc>
      </w:tr>
      <w:tr w:rsidR="00254350" w:rsidRPr="00D749D3" w14:paraId="595F6D55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6D38BC1A" w14:textId="77777777" w:rsidR="00254350" w:rsidRPr="00D749D3" w:rsidRDefault="00254350" w:rsidP="008802B0">
            <w:pPr>
              <w:keepNext/>
              <w:keepLines/>
              <w:rPr>
                <w:b/>
              </w:rPr>
            </w:pPr>
            <w:r w:rsidRPr="00D749D3">
              <w:rPr>
                <w:b/>
              </w:rPr>
              <w:t>Celkové investiční náklady (bez rezervy)</w:t>
            </w:r>
          </w:p>
        </w:tc>
        <w:tc>
          <w:tcPr>
            <w:tcW w:w="2500" w:type="pct"/>
            <w:vAlign w:val="center"/>
          </w:tcPr>
          <w:p w14:paraId="34952955" w14:textId="77777777" w:rsidR="00254350" w:rsidRPr="008F2777" w:rsidRDefault="00241715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41715">
              <w:rPr>
                <w:b/>
              </w:rPr>
              <w:t>27 929 652 092</w:t>
            </w:r>
          </w:p>
        </w:tc>
      </w:tr>
      <w:tr w:rsidR="00254350" w:rsidRPr="00331E6D" w14:paraId="4D1E3F43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3CF22C59" w14:textId="77777777" w:rsidR="00254350" w:rsidRPr="000F5C9C" w:rsidRDefault="00254350" w:rsidP="008802B0">
            <w:pPr>
              <w:keepNext/>
              <w:keepLines/>
            </w:pPr>
            <w:r w:rsidRPr="000F5C9C">
              <w:t>Rezerva</w:t>
            </w:r>
          </w:p>
        </w:tc>
        <w:tc>
          <w:tcPr>
            <w:tcW w:w="2500" w:type="pct"/>
            <w:vAlign w:val="center"/>
          </w:tcPr>
          <w:p w14:paraId="319C1D56" w14:textId="77777777" w:rsidR="00254350" w:rsidRPr="008F2777" w:rsidRDefault="00241715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2 426 051 483</w:t>
            </w:r>
          </w:p>
        </w:tc>
      </w:tr>
      <w:tr w:rsidR="00254350" w:rsidRPr="00D749D3" w14:paraId="11B37F90" w14:textId="77777777" w:rsidTr="00CB06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C6DD112" w14:textId="77777777" w:rsidR="00254350" w:rsidRPr="00D749D3" w:rsidRDefault="00254350" w:rsidP="008802B0">
            <w:pPr>
              <w:keepNext/>
              <w:keepLines/>
              <w:rPr>
                <w:b/>
              </w:rPr>
            </w:pPr>
            <w:r w:rsidRPr="00D749D3">
              <w:rPr>
                <w:b/>
              </w:rPr>
              <w:t>Celkové investiční náklady (včetně rezervy)</w:t>
            </w:r>
          </w:p>
        </w:tc>
        <w:tc>
          <w:tcPr>
            <w:tcW w:w="2500" w:type="pct"/>
            <w:vAlign w:val="center"/>
          </w:tcPr>
          <w:p w14:paraId="3BFA7050" w14:textId="77777777" w:rsidR="00254350" w:rsidRPr="008F2777" w:rsidRDefault="00241715" w:rsidP="008802B0">
            <w:pPr>
              <w:keepNext/>
              <w:keepLine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41715">
              <w:rPr>
                <w:b/>
              </w:rPr>
              <w:t>30 355 703 575</w:t>
            </w:r>
          </w:p>
        </w:tc>
      </w:tr>
    </w:tbl>
    <w:p w14:paraId="2E316A44" w14:textId="77777777" w:rsidR="00D749D3" w:rsidRDefault="00D749D3" w:rsidP="00D749D3">
      <w:pPr>
        <w:pStyle w:val="Titulek"/>
        <w:keepNext/>
        <w:keepLines/>
        <w:jc w:val="center"/>
      </w:pPr>
    </w:p>
    <w:p w14:paraId="38C679F6" w14:textId="77777777" w:rsidR="00D749D3" w:rsidRDefault="00D749D3" w:rsidP="00D749D3">
      <w:pPr>
        <w:pStyle w:val="Titulek"/>
        <w:keepNext/>
        <w:keepLines/>
        <w:jc w:val="center"/>
      </w:pPr>
      <w:r>
        <w:t xml:space="preserve">Tabulka </w:t>
      </w:r>
      <w:r w:rsidR="00BD2EBB">
        <w:t>3</w:t>
      </w:r>
      <w:r>
        <w:t>: Zůstatková hodnota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802"/>
        <w:gridCol w:w="3872"/>
      </w:tblGrid>
      <w:tr w:rsidR="00D749D3" w:rsidRPr="00331E6D" w14:paraId="387DE008" w14:textId="77777777" w:rsidTr="004255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8" w:type="pct"/>
          </w:tcPr>
          <w:p w14:paraId="3141A23E" w14:textId="77777777" w:rsidR="00D749D3" w:rsidRPr="00331E6D" w:rsidRDefault="00D749D3" w:rsidP="00382B63">
            <w:pPr>
              <w:keepNext/>
              <w:keepLines/>
            </w:pPr>
            <w:r w:rsidRPr="00CB0646">
              <w:t>V</w:t>
            </w:r>
            <w:r w:rsidR="00FA6A71" w:rsidRPr="00CB0646">
              <w:t>ýpočet zůstatkové hodnoty</w:t>
            </w:r>
            <w:r w:rsidR="00FA6A71">
              <w:t xml:space="preserve"> </w:t>
            </w:r>
          </w:p>
        </w:tc>
        <w:tc>
          <w:tcPr>
            <w:tcW w:w="2232" w:type="pct"/>
            <w:vAlign w:val="center"/>
          </w:tcPr>
          <w:p w14:paraId="3DF9F020" w14:textId="77777777" w:rsidR="00D749D3" w:rsidRPr="00331E6D" w:rsidRDefault="00D749D3" w:rsidP="00382B63">
            <w:pPr>
              <w:keepNext/>
              <w:keepLines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9D3" w:rsidRPr="00331E6D" w14:paraId="15848B84" w14:textId="77777777" w:rsidTr="00425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8" w:type="pct"/>
          </w:tcPr>
          <w:p w14:paraId="500855AB" w14:textId="77777777" w:rsidR="00D749D3" w:rsidRPr="00A70965" w:rsidRDefault="00D749D3" w:rsidP="00382B63">
            <w:r w:rsidRPr="00A70965">
              <w:t>Celková životnost investice</w:t>
            </w:r>
            <w:r w:rsidR="00207326">
              <w:t xml:space="preserve"> </w:t>
            </w:r>
            <w:r w:rsidR="00CB0646">
              <w:t>(let)</w:t>
            </w:r>
          </w:p>
        </w:tc>
        <w:tc>
          <w:tcPr>
            <w:tcW w:w="2232" w:type="pct"/>
            <w:vAlign w:val="center"/>
          </w:tcPr>
          <w:p w14:paraId="6ACB54E3" w14:textId="77777777" w:rsidR="00D749D3" w:rsidRPr="008F2777" w:rsidRDefault="00A5667E" w:rsidP="00213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39</w:t>
            </w:r>
          </w:p>
        </w:tc>
      </w:tr>
      <w:tr w:rsidR="00D749D3" w:rsidRPr="00331E6D" w14:paraId="6114D089" w14:textId="77777777" w:rsidTr="00425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8" w:type="pct"/>
          </w:tcPr>
          <w:p w14:paraId="18E914F5" w14:textId="77777777" w:rsidR="00D749D3" w:rsidRPr="00A70965" w:rsidRDefault="00D749D3" w:rsidP="00382B63">
            <w:r w:rsidRPr="00A70965">
              <w:t>Délka provozní fáze hodnotícího období</w:t>
            </w:r>
            <w:r w:rsidR="00CB0646">
              <w:t xml:space="preserve"> (let)</w:t>
            </w:r>
          </w:p>
        </w:tc>
        <w:tc>
          <w:tcPr>
            <w:tcW w:w="2232" w:type="pct"/>
            <w:vAlign w:val="center"/>
          </w:tcPr>
          <w:p w14:paraId="40D5B1DA" w14:textId="77777777" w:rsidR="00D749D3" w:rsidRPr="008F2777" w:rsidRDefault="00A5667E" w:rsidP="00213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</w:p>
        </w:tc>
      </w:tr>
      <w:tr w:rsidR="00D749D3" w:rsidRPr="00331E6D" w14:paraId="472119CC" w14:textId="77777777" w:rsidTr="00425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8" w:type="pct"/>
          </w:tcPr>
          <w:p w14:paraId="7690F786" w14:textId="77777777" w:rsidR="00D749D3" w:rsidRPr="00A70965" w:rsidRDefault="00D749D3" w:rsidP="00382B63">
            <w:r w:rsidRPr="00A70965">
              <w:t>Životnost investice po skončení hodnotícího období</w:t>
            </w:r>
            <w:r w:rsidR="004255D8">
              <w:t xml:space="preserve"> (let)</w:t>
            </w:r>
          </w:p>
        </w:tc>
        <w:tc>
          <w:tcPr>
            <w:tcW w:w="2232" w:type="pct"/>
            <w:vAlign w:val="center"/>
          </w:tcPr>
          <w:p w14:paraId="3274D521" w14:textId="77777777" w:rsidR="00D749D3" w:rsidRPr="008F2777" w:rsidRDefault="00A5667E" w:rsidP="00213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</w:tr>
      <w:tr w:rsidR="00D749D3" w:rsidRPr="00331E6D" w14:paraId="41DD283D" w14:textId="77777777" w:rsidTr="00425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8" w:type="pct"/>
          </w:tcPr>
          <w:p w14:paraId="5BE77389" w14:textId="77777777" w:rsidR="00D749D3" w:rsidRPr="004255D8" w:rsidRDefault="00D749D3" w:rsidP="00382B63">
            <w:r w:rsidRPr="004255D8">
              <w:t>Průměrný nákladový peněžní tok</w:t>
            </w:r>
            <w:r w:rsidR="00FA6A71" w:rsidRPr="004255D8">
              <w:t xml:space="preserve"> pro EA</w:t>
            </w:r>
            <w:r w:rsidRPr="004255D8">
              <w:t xml:space="preserve"> (nediskontovaný)</w:t>
            </w:r>
            <w:r w:rsidR="004255D8" w:rsidRPr="004255D8">
              <w:t xml:space="preserve"> (Kč)</w:t>
            </w:r>
          </w:p>
        </w:tc>
        <w:tc>
          <w:tcPr>
            <w:tcW w:w="2232" w:type="pct"/>
            <w:vAlign w:val="center"/>
          </w:tcPr>
          <w:p w14:paraId="59483319" w14:textId="77777777" w:rsidR="00D749D3" w:rsidRPr="008F2777" w:rsidRDefault="00A5667E" w:rsidP="00213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-28</w:t>
            </w:r>
            <w:r w:rsidR="008F2777" w:rsidRPr="008F2777">
              <w:t>6</w:t>
            </w:r>
            <w:r>
              <w:t xml:space="preserve"> 405 </w:t>
            </w:r>
            <w:r w:rsidR="008F2777" w:rsidRPr="008F2777">
              <w:t>1</w:t>
            </w:r>
            <w:r>
              <w:t>56</w:t>
            </w:r>
          </w:p>
        </w:tc>
      </w:tr>
      <w:tr w:rsidR="00D749D3" w:rsidRPr="00331E6D" w14:paraId="2E0A01B8" w14:textId="77777777" w:rsidTr="00425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8" w:type="pct"/>
          </w:tcPr>
          <w:p w14:paraId="5C5D840D" w14:textId="77777777" w:rsidR="004255D8" w:rsidRPr="00A70965" w:rsidRDefault="00D749D3" w:rsidP="00382B63">
            <w:r w:rsidRPr="00A70965">
              <w:t>Ekonomický přínos v posledním roce (nediskontovaný)</w:t>
            </w:r>
            <w:r w:rsidR="004255D8">
              <w:t xml:space="preserve"> (Kč)</w:t>
            </w:r>
          </w:p>
        </w:tc>
        <w:tc>
          <w:tcPr>
            <w:tcW w:w="2232" w:type="pct"/>
            <w:vAlign w:val="center"/>
          </w:tcPr>
          <w:p w14:paraId="0A9FC30A" w14:textId="77777777" w:rsidR="00D749D3" w:rsidRPr="00831F3E" w:rsidRDefault="00831F3E" w:rsidP="00213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F3E">
              <w:t>1 909 441 5</w:t>
            </w:r>
            <w:r w:rsidR="00A5667E" w:rsidRPr="00831F3E">
              <w:t>8</w:t>
            </w:r>
            <w:r w:rsidRPr="00831F3E">
              <w:t>3</w:t>
            </w:r>
          </w:p>
        </w:tc>
      </w:tr>
      <w:tr w:rsidR="00D749D3" w:rsidRPr="00D749D3" w14:paraId="47F63770" w14:textId="77777777" w:rsidTr="00425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8" w:type="pct"/>
          </w:tcPr>
          <w:p w14:paraId="50F0B454" w14:textId="77777777" w:rsidR="004255D8" w:rsidRPr="00D749D3" w:rsidRDefault="00D749D3" w:rsidP="00382B63">
            <w:pPr>
              <w:rPr>
                <w:b/>
              </w:rPr>
            </w:pPr>
            <w:r w:rsidRPr="00D749D3">
              <w:rPr>
                <w:b/>
              </w:rPr>
              <w:t>Zůstatková hodnota</w:t>
            </w:r>
            <w:r w:rsidR="00FA6A71">
              <w:rPr>
                <w:b/>
              </w:rPr>
              <w:t xml:space="preserve"> pro EA</w:t>
            </w:r>
            <w:r w:rsidR="004255D8">
              <w:rPr>
                <w:b/>
              </w:rPr>
              <w:t xml:space="preserve"> (Kč)</w:t>
            </w:r>
          </w:p>
        </w:tc>
        <w:tc>
          <w:tcPr>
            <w:tcW w:w="2232" w:type="pct"/>
            <w:vAlign w:val="center"/>
          </w:tcPr>
          <w:p w14:paraId="3D42D51B" w14:textId="77777777" w:rsidR="00D749D3" w:rsidRPr="00831F3E" w:rsidRDefault="00A5667E" w:rsidP="00831F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31F3E">
              <w:rPr>
                <w:b/>
              </w:rPr>
              <w:t>16 </w:t>
            </w:r>
            <w:r w:rsidR="00831F3E" w:rsidRPr="00831F3E">
              <w:rPr>
                <w:b/>
              </w:rPr>
              <w:t>846 563</w:t>
            </w:r>
            <w:r w:rsidRPr="00831F3E">
              <w:rPr>
                <w:b/>
              </w:rPr>
              <w:t xml:space="preserve"> </w:t>
            </w:r>
            <w:r w:rsidR="00831F3E" w:rsidRPr="00831F3E">
              <w:rPr>
                <w:b/>
              </w:rPr>
              <w:t>087</w:t>
            </w:r>
          </w:p>
        </w:tc>
      </w:tr>
      <w:tr w:rsidR="00FA6A71" w:rsidRPr="00D749D3" w14:paraId="0A7CB3AF" w14:textId="77777777" w:rsidTr="00425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8" w:type="pct"/>
          </w:tcPr>
          <w:p w14:paraId="4BB99A3B" w14:textId="77777777" w:rsidR="00FA6A71" w:rsidRPr="004255D8" w:rsidRDefault="00FA6A71" w:rsidP="00382B63">
            <w:pPr>
              <w:rPr>
                <w:b/>
              </w:rPr>
            </w:pPr>
            <w:r w:rsidRPr="004255D8">
              <w:rPr>
                <w:b/>
              </w:rPr>
              <w:t>Zůstatková hodnota pro FA</w:t>
            </w:r>
            <w:r w:rsidR="004255D8" w:rsidRPr="004255D8">
              <w:rPr>
                <w:b/>
              </w:rPr>
              <w:t xml:space="preserve"> (Kč)</w:t>
            </w:r>
          </w:p>
        </w:tc>
        <w:tc>
          <w:tcPr>
            <w:tcW w:w="2232" w:type="pct"/>
            <w:vAlign w:val="center"/>
          </w:tcPr>
          <w:p w14:paraId="2A5E9B68" w14:textId="77777777" w:rsidR="00FA6A71" w:rsidRPr="00290D3D" w:rsidRDefault="00A5667E" w:rsidP="00213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>
              <w:rPr>
                <w:b/>
              </w:rPr>
              <w:t>0</w:t>
            </w:r>
          </w:p>
        </w:tc>
      </w:tr>
    </w:tbl>
    <w:p w14:paraId="6D05FE50" w14:textId="77777777" w:rsidR="00D749D3" w:rsidRDefault="00D749D3" w:rsidP="006E1E5B">
      <w:pPr>
        <w:pStyle w:val="Nadpis1"/>
        <w:pageBreakBefore/>
        <w:ind w:left="431" w:hanging="431"/>
      </w:pPr>
      <w:bookmarkStart w:id="15" w:name="_Toc97713494"/>
      <w:bookmarkEnd w:id="0"/>
      <w:bookmarkEnd w:id="1"/>
      <w:bookmarkEnd w:id="2"/>
      <w:r>
        <w:lastRenderedPageBreak/>
        <w:t>Přehled výsledků</w:t>
      </w:r>
      <w:bookmarkEnd w:id="15"/>
    </w:p>
    <w:p w14:paraId="19FA36AE" w14:textId="74F85243" w:rsidR="00D749D3" w:rsidRDefault="00D749D3" w:rsidP="00D749D3">
      <w:r>
        <w:t xml:space="preserve">Výsledné ukazatele finanční analýzy investice jsou uvedeny v tabulce č. </w:t>
      </w:r>
      <w:r w:rsidR="009B482B">
        <w:t>4</w:t>
      </w:r>
      <w:r>
        <w:t>.</w:t>
      </w:r>
    </w:p>
    <w:p w14:paraId="2F106F2E" w14:textId="77777777" w:rsidR="00D749D3" w:rsidRDefault="00D749D3" w:rsidP="00D749D3">
      <w:pPr>
        <w:pStyle w:val="Titulek"/>
        <w:keepNext/>
        <w:keepLines/>
        <w:jc w:val="center"/>
      </w:pPr>
      <w:r>
        <w:t xml:space="preserve">Tabulka </w:t>
      </w:r>
      <w:r w:rsidR="00BD2EBB">
        <w:t>4</w:t>
      </w:r>
      <w:r>
        <w:t xml:space="preserve">: </w:t>
      </w:r>
      <w:r w:rsidR="003B157D">
        <w:t>Výsledky finanční analýzy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892"/>
        <w:gridCol w:w="2891"/>
        <w:gridCol w:w="2891"/>
      </w:tblGrid>
      <w:tr w:rsidR="00D749D3" w:rsidRPr="00331E6D" w14:paraId="332F1A0C" w14:textId="77777777" w:rsidTr="003B15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485F381" w14:textId="77777777" w:rsidR="00D749D3" w:rsidRPr="00331E6D" w:rsidRDefault="00D749D3" w:rsidP="00382B63">
            <w:pPr>
              <w:keepNext/>
              <w:keepLines/>
            </w:pPr>
            <w:r>
              <w:t>Ukazatel</w:t>
            </w:r>
          </w:p>
        </w:tc>
        <w:tc>
          <w:tcPr>
            <w:tcW w:w="2944" w:type="dxa"/>
            <w:vAlign w:val="center"/>
          </w:tcPr>
          <w:p w14:paraId="41DB73C1" w14:textId="77777777" w:rsidR="00D749D3" w:rsidRPr="00331E6D" w:rsidRDefault="00D749D3" w:rsidP="003B157D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Zkratka</w:t>
            </w:r>
          </w:p>
        </w:tc>
        <w:tc>
          <w:tcPr>
            <w:tcW w:w="2944" w:type="dxa"/>
            <w:vAlign w:val="center"/>
          </w:tcPr>
          <w:p w14:paraId="1AF48F6D" w14:textId="77777777" w:rsidR="00D749D3" w:rsidRPr="00331E6D" w:rsidRDefault="00D749D3" w:rsidP="003B157D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Finanční analýza</w:t>
            </w:r>
          </w:p>
        </w:tc>
      </w:tr>
      <w:tr w:rsidR="00D749D3" w:rsidRPr="00331E6D" w14:paraId="004C42D0" w14:textId="77777777" w:rsidTr="003B157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10702D8" w14:textId="77777777" w:rsidR="00D749D3" w:rsidRPr="00542B56" w:rsidRDefault="00D749D3" w:rsidP="00382B63">
            <w:r w:rsidRPr="00542B56">
              <w:t>Čistá současná hodnota</w:t>
            </w:r>
          </w:p>
        </w:tc>
        <w:tc>
          <w:tcPr>
            <w:tcW w:w="2944" w:type="dxa"/>
            <w:vAlign w:val="center"/>
          </w:tcPr>
          <w:p w14:paraId="7504F30E" w14:textId="77777777" w:rsidR="00D749D3" w:rsidRPr="00542B56" w:rsidRDefault="009157A0" w:rsidP="003B15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FNPV</w:t>
            </w:r>
          </w:p>
        </w:tc>
        <w:tc>
          <w:tcPr>
            <w:tcW w:w="2944" w:type="dxa"/>
            <w:vAlign w:val="center"/>
          </w:tcPr>
          <w:p w14:paraId="59ED5114" w14:textId="77777777" w:rsidR="00D749D3" w:rsidRPr="002C1B99" w:rsidRDefault="004E49CB" w:rsidP="003B15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1B99">
              <w:t>-2</w:t>
            </w:r>
            <w:r w:rsidR="002C1B99" w:rsidRPr="002C1B99">
              <w:t>4 025 076</w:t>
            </w:r>
            <w:r w:rsidR="00D749D3" w:rsidRPr="002C1B99">
              <w:t xml:space="preserve"> tis. Kč</w:t>
            </w:r>
          </w:p>
        </w:tc>
      </w:tr>
      <w:tr w:rsidR="00D749D3" w:rsidRPr="00331E6D" w14:paraId="4630EEAA" w14:textId="77777777" w:rsidTr="003B157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08ABD12D" w14:textId="77777777" w:rsidR="00D749D3" w:rsidRPr="00782612" w:rsidRDefault="00D749D3" w:rsidP="00382B63">
            <w:r w:rsidRPr="00782612">
              <w:t>Vnitřní míra výnosu</w:t>
            </w:r>
          </w:p>
        </w:tc>
        <w:tc>
          <w:tcPr>
            <w:tcW w:w="2944" w:type="dxa"/>
            <w:vAlign w:val="center"/>
          </w:tcPr>
          <w:p w14:paraId="428453E3" w14:textId="77777777" w:rsidR="00D749D3" w:rsidRPr="00782612" w:rsidRDefault="009157A0" w:rsidP="003B15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FRR</w:t>
            </w:r>
          </w:p>
        </w:tc>
        <w:tc>
          <w:tcPr>
            <w:tcW w:w="2944" w:type="dxa"/>
            <w:vAlign w:val="center"/>
          </w:tcPr>
          <w:p w14:paraId="6992F795" w14:textId="77777777" w:rsidR="00D749D3" w:rsidRPr="002C1B99" w:rsidRDefault="004E49CB" w:rsidP="002C1B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1B99">
              <w:t>-</w:t>
            </w:r>
            <w:r w:rsidR="002C1B99" w:rsidRPr="002C1B99">
              <w:t>--</w:t>
            </w:r>
          </w:p>
        </w:tc>
      </w:tr>
    </w:tbl>
    <w:p w14:paraId="5E40B9EF" w14:textId="77777777" w:rsidR="003B157D" w:rsidRDefault="003B157D" w:rsidP="003B157D"/>
    <w:p w14:paraId="7429FF48" w14:textId="77777777" w:rsidR="003B157D" w:rsidRDefault="003B157D" w:rsidP="003B157D">
      <w:r w:rsidRPr="00DA44D8">
        <w:t xml:space="preserve">Výsledky finanční analýzy opravňují financování projektu z veřejných zdrojů, neboť prokázaly, že </w:t>
      </w:r>
      <w:r w:rsidRPr="00DA44D8">
        <w:rPr>
          <w:b/>
        </w:rPr>
        <w:t xml:space="preserve">projekt není tzv. </w:t>
      </w:r>
      <w:proofErr w:type="spellStart"/>
      <w:r w:rsidRPr="00DA44D8">
        <w:rPr>
          <w:b/>
        </w:rPr>
        <w:t>samofinancovatelný</w:t>
      </w:r>
      <w:proofErr w:type="spellEnd"/>
      <w:r w:rsidRPr="00DA44D8">
        <w:t xml:space="preserve">. </w:t>
      </w:r>
    </w:p>
    <w:p w14:paraId="0A3357DC" w14:textId="7578C780" w:rsidR="003B157D" w:rsidRDefault="003B157D" w:rsidP="003B157D">
      <w:r>
        <w:t xml:space="preserve">Výsledné ukazatele ekonomické analýzy jsou uvedeny v tabulce č. </w:t>
      </w:r>
      <w:r w:rsidR="009B482B">
        <w:t>5</w:t>
      </w:r>
      <w:r>
        <w:t>.</w:t>
      </w:r>
    </w:p>
    <w:p w14:paraId="6EBE3935" w14:textId="77777777" w:rsidR="003B157D" w:rsidRDefault="003B157D" w:rsidP="003B157D">
      <w:pPr>
        <w:pStyle w:val="Titulek"/>
        <w:keepNext/>
        <w:keepLines/>
        <w:jc w:val="center"/>
      </w:pPr>
      <w:r>
        <w:t xml:space="preserve">Tabulka </w:t>
      </w:r>
      <w:r w:rsidR="00BD2EBB">
        <w:t>5</w:t>
      </w:r>
      <w:r>
        <w:t>: Výsledky ekonomické analýzy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892"/>
        <w:gridCol w:w="2887"/>
        <w:gridCol w:w="2895"/>
      </w:tblGrid>
      <w:tr w:rsidR="00F048F0" w:rsidRPr="00216F4A" w14:paraId="75B794F5" w14:textId="77777777" w:rsidTr="00880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12A59F7E" w14:textId="77777777" w:rsidR="00F048F0" w:rsidRPr="00216F4A" w:rsidRDefault="00F048F0" w:rsidP="008802B0">
            <w:r w:rsidRPr="00216F4A">
              <w:t>Ukazatel</w:t>
            </w:r>
          </w:p>
        </w:tc>
        <w:tc>
          <w:tcPr>
            <w:tcW w:w="2944" w:type="dxa"/>
            <w:vAlign w:val="center"/>
          </w:tcPr>
          <w:p w14:paraId="76E4545A" w14:textId="77777777" w:rsidR="00F048F0" w:rsidRPr="00216F4A" w:rsidRDefault="00F048F0" w:rsidP="008802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Zkratka</w:t>
            </w:r>
          </w:p>
        </w:tc>
        <w:tc>
          <w:tcPr>
            <w:tcW w:w="2944" w:type="dxa"/>
            <w:vAlign w:val="center"/>
          </w:tcPr>
          <w:p w14:paraId="3084E7A6" w14:textId="77777777" w:rsidR="00F048F0" w:rsidRPr="00216F4A" w:rsidRDefault="00F048F0" w:rsidP="008802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6F4A">
              <w:t>Ekonomická</w:t>
            </w:r>
            <w:r>
              <w:t xml:space="preserve"> analýza</w:t>
            </w:r>
          </w:p>
        </w:tc>
      </w:tr>
      <w:tr w:rsidR="00F048F0" w:rsidRPr="00FA366F" w14:paraId="12AB20FC" w14:textId="77777777" w:rsidTr="008802B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1EDA6A0D" w14:textId="77777777" w:rsidR="00F048F0" w:rsidRPr="00FA366F" w:rsidRDefault="00F048F0" w:rsidP="008802B0">
            <w:r w:rsidRPr="00FA366F">
              <w:t>Čistá současná hodnota</w:t>
            </w:r>
          </w:p>
        </w:tc>
        <w:tc>
          <w:tcPr>
            <w:tcW w:w="2944" w:type="dxa"/>
            <w:vAlign w:val="center"/>
          </w:tcPr>
          <w:p w14:paraId="3C232FB1" w14:textId="77777777" w:rsidR="00F048F0" w:rsidRPr="00FA366F" w:rsidRDefault="00F048F0" w:rsidP="008802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366F">
              <w:t>ENPV</w:t>
            </w:r>
          </w:p>
        </w:tc>
        <w:tc>
          <w:tcPr>
            <w:tcW w:w="2944" w:type="dxa"/>
            <w:vAlign w:val="center"/>
          </w:tcPr>
          <w:p w14:paraId="2CE97145" w14:textId="77777777" w:rsidR="00F048F0" w:rsidRPr="002C1B99" w:rsidRDefault="002C1B99" w:rsidP="008802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1B99">
              <w:t>1 340 195</w:t>
            </w:r>
            <w:r w:rsidR="00F048F0" w:rsidRPr="002C1B99">
              <w:t xml:space="preserve"> tis. Kč</w:t>
            </w:r>
          </w:p>
        </w:tc>
      </w:tr>
      <w:tr w:rsidR="00F048F0" w:rsidRPr="00FA366F" w14:paraId="368574AC" w14:textId="77777777" w:rsidTr="008802B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A1D30DF" w14:textId="77777777" w:rsidR="00F048F0" w:rsidRPr="00FA366F" w:rsidRDefault="00F048F0" w:rsidP="008802B0">
            <w:r w:rsidRPr="00FA366F">
              <w:t>Vnitřní míra výnosu</w:t>
            </w:r>
          </w:p>
        </w:tc>
        <w:tc>
          <w:tcPr>
            <w:tcW w:w="2944" w:type="dxa"/>
            <w:vAlign w:val="center"/>
          </w:tcPr>
          <w:p w14:paraId="5CE8C63C" w14:textId="77777777" w:rsidR="00F048F0" w:rsidRPr="00FA366F" w:rsidRDefault="00F048F0" w:rsidP="008802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366F">
              <w:t>ERR</w:t>
            </w:r>
          </w:p>
        </w:tc>
        <w:tc>
          <w:tcPr>
            <w:tcW w:w="2944" w:type="dxa"/>
            <w:vAlign w:val="center"/>
          </w:tcPr>
          <w:p w14:paraId="6909C2DD" w14:textId="77777777" w:rsidR="00F048F0" w:rsidRPr="002C1B99" w:rsidRDefault="002C1B99" w:rsidP="008802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1B99">
              <w:t>5,52</w:t>
            </w:r>
            <w:r w:rsidR="00F048F0" w:rsidRPr="002C1B99">
              <w:t xml:space="preserve"> %</w:t>
            </w:r>
          </w:p>
        </w:tc>
      </w:tr>
      <w:tr w:rsidR="00F048F0" w14:paraId="098DF55F" w14:textId="77777777" w:rsidTr="008802B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8D9C2E7" w14:textId="77777777" w:rsidR="00F048F0" w:rsidRPr="00FA366F" w:rsidRDefault="00F048F0" w:rsidP="008802B0">
            <w:r w:rsidRPr="00FA366F">
              <w:t>Rentabilita nákladů</w:t>
            </w:r>
          </w:p>
        </w:tc>
        <w:tc>
          <w:tcPr>
            <w:tcW w:w="2944" w:type="dxa"/>
            <w:vAlign w:val="center"/>
          </w:tcPr>
          <w:p w14:paraId="1516D849" w14:textId="77777777" w:rsidR="00F048F0" w:rsidRPr="00FA366F" w:rsidRDefault="00F048F0" w:rsidP="008802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366F">
              <w:t>BCR</w:t>
            </w:r>
          </w:p>
        </w:tc>
        <w:tc>
          <w:tcPr>
            <w:tcW w:w="2944" w:type="dxa"/>
            <w:vAlign w:val="center"/>
          </w:tcPr>
          <w:p w14:paraId="28741D1F" w14:textId="77777777" w:rsidR="00F048F0" w:rsidRPr="002C1B99" w:rsidRDefault="004E49CB" w:rsidP="002C1B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1B99">
              <w:t>1,0</w:t>
            </w:r>
            <w:r w:rsidR="002C1B99" w:rsidRPr="002C1B99">
              <w:t>70</w:t>
            </w:r>
          </w:p>
        </w:tc>
      </w:tr>
    </w:tbl>
    <w:p w14:paraId="260AFF73" w14:textId="77777777" w:rsidR="003B157D" w:rsidRDefault="003B157D" w:rsidP="00D749D3"/>
    <w:p w14:paraId="0EF6B2A0" w14:textId="77777777" w:rsidR="003B157D" w:rsidRPr="003A6524" w:rsidRDefault="003B157D" w:rsidP="00D749D3">
      <w:pPr>
        <w:rPr>
          <w:b/>
        </w:rPr>
      </w:pPr>
      <w:r w:rsidRPr="001D1DF2">
        <w:t>Hodnoty ekonomických ukazatelů dokazují, že celospolečenská efektivnost projektu</w:t>
      </w:r>
      <w:r w:rsidRPr="00E0713A">
        <w:rPr>
          <w:b/>
        </w:rPr>
        <w:t xml:space="preserve"> </w:t>
      </w:r>
      <w:r w:rsidRPr="003A6524">
        <w:rPr>
          <w:b/>
        </w:rPr>
        <w:t>je prokázána.</w:t>
      </w:r>
    </w:p>
    <w:p w14:paraId="292F616B" w14:textId="77777777" w:rsidR="00F40D38" w:rsidRPr="00331E6D" w:rsidRDefault="006E1E5B" w:rsidP="006E1E5B">
      <w:pPr>
        <w:pStyle w:val="Nadpis1"/>
        <w:pageBreakBefore/>
        <w:ind w:left="431" w:hanging="431"/>
      </w:pPr>
      <w:bookmarkStart w:id="16" w:name="_Toc97713495"/>
      <w:r w:rsidRPr="00331E6D">
        <w:lastRenderedPageBreak/>
        <w:t>Závěr</w:t>
      </w:r>
      <w:bookmarkEnd w:id="16"/>
    </w:p>
    <w:p w14:paraId="19B90FAE" w14:textId="77777777" w:rsidR="00016BC4" w:rsidRPr="007C3B93" w:rsidRDefault="00016BC4" w:rsidP="00016BC4">
      <w:r w:rsidRPr="007C3B93">
        <w:t xml:space="preserve">Aktualizace finanční analýzy potvrdila, že projekt </w:t>
      </w:r>
      <w:r w:rsidRPr="003A6524">
        <w:t xml:space="preserve">není tzv. </w:t>
      </w:r>
      <w:proofErr w:type="spellStart"/>
      <w:r w:rsidRPr="003A6524">
        <w:t>samofinancovatelný</w:t>
      </w:r>
      <w:proofErr w:type="spellEnd"/>
      <w:r w:rsidR="00EC5B51" w:rsidRPr="003A6524">
        <w:t xml:space="preserve">. Ekonomická analýza zohledňující </w:t>
      </w:r>
      <w:r w:rsidRPr="003A6524">
        <w:t>celospolečensk</w:t>
      </w:r>
      <w:r w:rsidR="00EC5B51" w:rsidRPr="003A6524">
        <w:t>ou</w:t>
      </w:r>
      <w:r w:rsidRPr="003A6524">
        <w:t xml:space="preserve"> efektivnost projektu</w:t>
      </w:r>
      <w:r w:rsidR="00A30A35" w:rsidRPr="003A6524">
        <w:t xml:space="preserve"> po</w:t>
      </w:r>
      <w:r w:rsidRPr="003A6524">
        <w:t xml:space="preserve"> </w:t>
      </w:r>
      <w:r w:rsidR="00A30A35" w:rsidRPr="003A6524">
        <w:t>aktualizaci benefitů prokázala kladný výsledek.</w:t>
      </w:r>
      <w:r w:rsidRPr="003A6524">
        <w:t xml:space="preserve"> </w:t>
      </w:r>
      <w:r w:rsidRPr="007C3B93">
        <w:t xml:space="preserve">Výsledný ukazatel ERR ve </w:t>
      </w:r>
      <w:r w:rsidRPr="002C1B99">
        <w:t xml:space="preserve">výši </w:t>
      </w:r>
      <w:r w:rsidR="00040192" w:rsidRPr="002C1B99">
        <w:rPr>
          <w:b/>
        </w:rPr>
        <w:t>5,52</w:t>
      </w:r>
      <w:r w:rsidR="008F0F55" w:rsidRPr="002C1B99">
        <w:rPr>
          <w:b/>
        </w:rPr>
        <w:t xml:space="preserve"> </w:t>
      </w:r>
      <w:r w:rsidRPr="002C1B99">
        <w:rPr>
          <w:b/>
        </w:rPr>
        <w:t>%</w:t>
      </w:r>
      <w:r w:rsidRPr="002C1B99">
        <w:t xml:space="preserve"> je </w:t>
      </w:r>
      <w:r w:rsidRPr="007C3B93">
        <w:t>vyšší než stanovená diskontní sazba 5%. Projekt tak splňuje všechny předpoklady k finan</w:t>
      </w:r>
      <w:r w:rsidR="001745C2">
        <w:t xml:space="preserve">cování z veřejných zdrojů vč. </w:t>
      </w:r>
      <w:r w:rsidRPr="007C3B93">
        <w:t>dotací z</w:t>
      </w:r>
      <w:r w:rsidR="00077F33">
        <w:t> </w:t>
      </w:r>
      <w:r w:rsidRPr="007C3B93">
        <w:t>fondů EU.</w:t>
      </w:r>
    </w:p>
    <w:p w14:paraId="6B9B3676" w14:textId="77777777" w:rsidR="00EC5B51" w:rsidRPr="009A4240" w:rsidRDefault="00016BC4" w:rsidP="00B02CF9">
      <w:r w:rsidRPr="009A4240">
        <w:t xml:space="preserve">Přepínací hodnota stavebních nákladů je </w:t>
      </w:r>
      <w:r w:rsidR="00210561" w:rsidRPr="009A4240">
        <w:rPr>
          <w:b/>
        </w:rPr>
        <w:t>7,92</w:t>
      </w:r>
      <w:r w:rsidR="008F0F55" w:rsidRPr="009A4240">
        <w:rPr>
          <w:b/>
        </w:rPr>
        <w:t xml:space="preserve"> </w:t>
      </w:r>
      <w:r w:rsidRPr="009A4240">
        <w:rPr>
          <w:b/>
        </w:rPr>
        <w:t xml:space="preserve">%, </w:t>
      </w:r>
      <w:r w:rsidRPr="009A4240">
        <w:t xml:space="preserve">což odpovídá navýšení CIN bez rezervy na </w:t>
      </w:r>
      <w:r w:rsidR="00210561" w:rsidRPr="009A4240">
        <w:t>29 907 162</w:t>
      </w:r>
      <w:r w:rsidR="00C25F02" w:rsidRPr="009A4240">
        <w:t xml:space="preserve"> tis. Kč (tj. o cca </w:t>
      </w:r>
      <w:r w:rsidR="00210561" w:rsidRPr="009A4240">
        <w:t>1 977 510</w:t>
      </w:r>
      <w:r w:rsidR="008F0F55" w:rsidRPr="009A4240">
        <w:t xml:space="preserve"> tis. Kč) </w:t>
      </w:r>
      <w:r w:rsidRPr="009A4240">
        <w:t>v CÚ 2020.</w:t>
      </w:r>
    </w:p>
    <w:p w14:paraId="3C854C2C" w14:textId="77777777" w:rsidR="00EC5B51" w:rsidRPr="004B06EE" w:rsidRDefault="00BE2E2E" w:rsidP="00B02CF9">
      <w:pPr>
        <w:rPr>
          <w:b/>
        </w:rPr>
        <w:sectPr w:rsidR="00EC5B51" w:rsidRPr="004B06EE" w:rsidSect="00C107A2"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  <w:r>
        <w:rPr>
          <w:b/>
        </w:rPr>
        <w:t>Stavbu</w:t>
      </w:r>
      <w:r w:rsidR="00EC5B51" w:rsidRPr="004B06EE">
        <w:rPr>
          <w:b/>
        </w:rPr>
        <w:t xml:space="preserve"> „</w:t>
      </w:r>
      <w:r w:rsidR="0059503C" w:rsidRPr="0059503C">
        <w:rPr>
          <w:b/>
          <w:noProof/>
        </w:rPr>
        <w:t>Studie proveditelnosti trati Velký Osek – Hradec Králové – Choceň</w:t>
      </w:r>
      <w:r w:rsidR="00EC5B51" w:rsidRPr="004B06EE">
        <w:rPr>
          <w:b/>
        </w:rPr>
        <w:t xml:space="preserve">“ </w:t>
      </w:r>
      <w:r w:rsidR="00EC5B51" w:rsidRPr="003A6524">
        <w:rPr>
          <w:b/>
        </w:rPr>
        <w:t>lze doporučit k</w:t>
      </w:r>
      <w:r w:rsidR="00BC4418" w:rsidRPr="003A6524">
        <w:rPr>
          <w:b/>
        </w:rPr>
        <w:t> realizaci.</w:t>
      </w:r>
    </w:p>
    <w:p w14:paraId="60C7FED6" w14:textId="77777777" w:rsidR="00331E6D" w:rsidRPr="00331E6D" w:rsidRDefault="00331E6D" w:rsidP="00331E6D">
      <w:pPr>
        <w:pStyle w:val="Tirnazadnstran"/>
        <w:rPr>
          <w:b/>
          <w:color w:val="002B59" w:themeColor="accent1"/>
        </w:rPr>
      </w:pPr>
      <w:r w:rsidRPr="00331E6D">
        <w:rPr>
          <w:b/>
          <w:color w:val="002B59" w:themeColor="accent1"/>
        </w:rPr>
        <w:lastRenderedPageBreak/>
        <w:t>Správa železni</w:t>
      </w:r>
      <w:r w:rsidR="00F56F1D">
        <w:rPr>
          <w:b/>
          <w:color w:val="002B59" w:themeColor="accent1"/>
        </w:rPr>
        <w:t>c</w:t>
      </w:r>
      <w:r w:rsidR="00A555D3">
        <w:rPr>
          <w:b/>
          <w:color w:val="002B59" w:themeColor="accent1"/>
        </w:rPr>
        <w:t xml:space="preserve">, </w:t>
      </w:r>
      <w:r w:rsidRPr="00331E6D">
        <w:rPr>
          <w:b/>
          <w:color w:val="002B59" w:themeColor="accent1"/>
        </w:rPr>
        <w:t>státní organizace</w:t>
      </w:r>
      <w:r w:rsidR="00CB0646">
        <w:rPr>
          <w:b/>
          <w:color w:val="002B59" w:themeColor="accent1"/>
        </w:rPr>
        <w:br/>
        <w:t>Generální ředitelství</w:t>
      </w:r>
      <w:r>
        <w:rPr>
          <w:b/>
          <w:color w:val="002B59" w:themeColor="accent1"/>
        </w:rPr>
        <w:br/>
      </w:r>
      <w:r w:rsidRPr="00331E6D">
        <w:rPr>
          <w:b/>
          <w:color w:val="002B59" w:themeColor="accent1"/>
        </w:rPr>
        <w:t>Dlážděná 1003/7</w:t>
      </w:r>
      <w:r w:rsidRPr="00331E6D">
        <w:rPr>
          <w:b/>
          <w:color w:val="002B59" w:themeColor="accent1"/>
        </w:rPr>
        <w:br/>
        <w:t>110 00 Praha 1</w:t>
      </w:r>
    </w:p>
    <w:p w14:paraId="73884330" w14:textId="77777777" w:rsidR="00331E6D" w:rsidRDefault="00331E6D" w:rsidP="00331E6D">
      <w:pPr>
        <w:pStyle w:val="Tirnazadnstran"/>
        <w:rPr>
          <w:b/>
          <w:color w:val="002B59" w:themeColor="accent1"/>
        </w:rPr>
      </w:pPr>
      <w:r w:rsidRPr="00331E6D">
        <w:rPr>
          <w:b/>
          <w:color w:val="002B59" w:themeColor="accent1"/>
        </w:rPr>
        <w:t>© 20</w:t>
      </w:r>
      <w:r w:rsidR="00F56F1D">
        <w:rPr>
          <w:b/>
          <w:color w:val="002B59" w:themeColor="accent1"/>
        </w:rPr>
        <w:t>20</w:t>
      </w:r>
    </w:p>
    <w:p w14:paraId="4D867469" w14:textId="77777777" w:rsidR="00331E6D" w:rsidRPr="00331E6D" w:rsidRDefault="00331E6D" w:rsidP="00331E6D">
      <w:pPr>
        <w:pStyle w:val="Tirnazadnstran"/>
        <w:rPr>
          <w:b/>
          <w:color w:val="002B59" w:themeColor="accent1"/>
        </w:rPr>
      </w:pPr>
      <w:r w:rsidRPr="00331E6D">
        <w:rPr>
          <w:color w:val="002B59" w:themeColor="accent1"/>
        </w:rPr>
        <w:t>Datum tisku</w:t>
      </w:r>
      <w:r w:rsidRPr="00331E6D">
        <w:rPr>
          <w:color w:val="002B59" w:themeColor="accent1"/>
        </w:rPr>
        <w:br/>
      </w:r>
      <w:r w:rsidR="00E74AE3">
        <w:rPr>
          <w:color w:val="002B59" w:themeColor="accent1"/>
        </w:rPr>
        <w:t>2020-12-15</w:t>
      </w:r>
    </w:p>
    <w:sectPr w:rsidR="00331E6D" w:rsidRPr="00331E6D" w:rsidSect="006E1E5B">
      <w:headerReference w:type="even" r:id="rId20"/>
      <w:footerReference w:type="even" r:id="rId21"/>
      <w:type w:val="evenPage"/>
      <w:pgSz w:w="11906" w:h="16838" w:code="9"/>
      <w:pgMar w:top="1049" w:right="1616" w:bottom="1474" w:left="1616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15026" w14:textId="77777777" w:rsidR="00A45BFE" w:rsidRDefault="00A45BFE" w:rsidP="00962258">
      <w:pPr>
        <w:spacing w:after="0" w:line="240" w:lineRule="auto"/>
      </w:pPr>
      <w:r>
        <w:separator/>
      </w:r>
    </w:p>
  </w:endnote>
  <w:endnote w:type="continuationSeparator" w:id="0">
    <w:p w14:paraId="37A71FEF" w14:textId="77777777" w:rsidR="00A45BFE" w:rsidRDefault="00A45B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C358" w14:textId="77777777" w:rsidR="00CB3388" w:rsidRPr="00B8518B" w:rsidRDefault="00CB3388" w:rsidP="00460660">
    <w:pPr>
      <w:pStyle w:val="Zpat"/>
      <w:rPr>
        <w:sz w:val="2"/>
        <w:szCs w:val="2"/>
      </w:rPr>
    </w:pPr>
  </w:p>
  <w:p w14:paraId="63B8D112" w14:textId="77777777" w:rsidR="00CB3388" w:rsidRPr="00460660" w:rsidRDefault="00CB338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755A" w14:textId="77777777" w:rsidR="00CB3388" w:rsidRPr="005F4418" w:rsidRDefault="00CB3388" w:rsidP="005F44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214"/>
    </w:tblGrid>
    <w:tr w:rsidR="00CB3388" w14:paraId="0EA2A308" w14:textId="77777777" w:rsidTr="005B4D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65E89E" w14:textId="77777777" w:rsidR="00CB3388" w:rsidRPr="00B8518B" w:rsidRDefault="00CB3388" w:rsidP="0057364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921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C99AD85" w14:textId="77777777" w:rsidR="00CB3388" w:rsidRDefault="00253D6E" w:rsidP="005B4D80">
          <w:pPr>
            <w:ind w:right="285"/>
          </w:pPr>
          <w:sdt>
            <w:sdtPr>
              <w:alias w:val="Title"/>
              <w:tag w:val=""/>
              <w:id w:val="-104621567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B3388">
                <w:t>Studie proveditelnosti trati Velký Osek – Hradec Králové – Choceň</w:t>
              </w:r>
            </w:sdtContent>
          </w:sdt>
        </w:p>
      </w:tc>
    </w:tr>
  </w:tbl>
  <w:p w14:paraId="105529F9" w14:textId="77777777" w:rsidR="00CB3388" w:rsidRPr="00B8518B" w:rsidRDefault="00CB3388" w:rsidP="00460660">
    <w:pPr>
      <w:pStyle w:val="Zpat"/>
      <w:rPr>
        <w:sz w:val="2"/>
        <w:szCs w:val="2"/>
      </w:rPr>
    </w:pPr>
  </w:p>
  <w:p w14:paraId="2E37F48C" w14:textId="77777777" w:rsidR="00CB3388" w:rsidRPr="00460660" w:rsidRDefault="00CB3388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ulkaodvolacchadoplujcchdaj"/>
      <w:tblW w:w="0" w:type="auto"/>
      <w:tblCellMar>
        <w:top w:w="0" w:type="dxa"/>
        <w:bottom w:w="0" w:type="dxa"/>
      </w:tblCellMar>
      <w:tblLook w:val="04A0" w:firstRow="1" w:lastRow="0" w:firstColumn="1" w:lastColumn="0" w:noHBand="0" w:noVBand="1"/>
    </w:tblPr>
    <w:tblGrid>
      <w:gridCol w:w="8674"/>
    </w:tblGrid>
    <w:tr w:rsidR="00CB3388" w:rsidRPr="00A812B8" w14:paraId="0D8AA0C5" w14:textId="77777777" w:rsidTr="00331E6D">
      <w:trPr>
        <w:trHeight w:val="170"/>
      </w:trPr>
      <w:tc>
        <w:tcPr>
          <w:tcW w:w="8814" w:type="dxa"/>
          <w:shd w:val="clear" w:color="auto" w:fill="002B59" w:themeFill="accent1"/>
        </w:tcPr>
        <w:p w14:paraId="5B740903" w14:textId="77777777" w:rsidR="00CB3388" w:rsidRPr="00A812B8" w:rsidRDefault="00CB3388" w:rsidP="00A812B8">
          <w:pPr>
            <w:rPr>
              <w:sz w:val="6"/>
              <w:szCs w:val="6"/>
            </w:rPr>
          </w:pPr>
        </w:p>
      </w:tc>
    </w:tr>
    <w:tr w:rsidR="00CB3388" w14:paraId="1665BD18" w14:textId="77777777" w:rsidTr="00331E6D">
      <w:trPr>
        <w:trHeight w:val="2239"/>
      </w:trPr>
      <w:tc>
        <w:tcPr>
          <w:tcW w:w="8814" w:type="dxa"/>
        </w:tcPr>
        <w:p w14:paraId="1A464F87" w14:textId="77777777" w:rsidR="00CB3388" w:rsidRPr="00331E6D" w:rsidRDefault="00253D6E" w:rsidP="002D0243">
          <w:pPr>
            <w:pStyle w:val="Zpat"/>
            <w:spacing w:before="320"/>
            <w:rPr>
              <w:b/>
              <w:sz w:val="30"/>
              <w:szCs w:val="30"/>
            </w:rPr>
          </w:pPr>
          <w:hyperlink r:id="rId1" w:history="1">
            <w:r w:rsidR="00CB3388">
              <w:rPr>
                <w:rStyle w:val="Hypertextovodkaz"/>
                <w:b/>
                <w:color w:val="00A1E0" w:themeColor="accent3"/>
                <w:sz w:val="30"/>
                <w:szCs w:val="30"/>
                <w:u w:val="none"/>
              </w:rPr>
              <w:t>spravazeleznic</w:t>
            </w:r>
            <w:r w:rsidR="00CB3388" w:rsidRPr="00331E6D">
              <w:rPr>
                <w:rStyle w:val="Hypertextovodkaz"/>
                <w:b/>
                <w:color w:val="00A1E0" w:themeColor="accent3"/>
                <w:sz w:val="30"/>
                <w:szCs w:val="30"/>
                <w:u w:val="none"/>
              </w:rPr>
              <w:t>.cz</w:t>
            </w:r>
          </w:hyperlink>
        </w:p>
      </w:tc>
    </w:tr>
  </w:tbl>
  <w:p w14:paraId="58140D65" w14:textId="77777777" w:rsidR="00CB3388" w:rsidRPr="00A812B8" w:rsidRDefault="00CB3388" w:rsidP="00A812B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9E3D9" w14:textId="77777777" w:rsidR="00A45BFE" w:rsidRDefault="00A45BFE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2C2F4B1E" w14:textId="77777777" w:rsidR="00A45BFE" w:rsidRDefault="00A45BFE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B3388" w14:paraId="3DDB97EA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12FF5E6" w14:textId="77777777" w:rsidR="00CB3388" w:rsidRDefault="00CB3388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47F9310D" w14:textId="77777777" w:rsidR="00CB3388" w:rsidRPr="00D31458" w:rsidRDefault="00CB3388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1" layoutInCell="1" allowOverlap="1" wp14:anchorId="3F9F4712" wp14:editId="5C7656B4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C5FBDD5" w14:textId="77777777" w:rsidR="00CB3388" w:rsidRPr="00D6163D" w:rsidRDefault="00CB338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B3388" w:rsidRPr="005F4418" w14:paraId="1D8ADF1F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490D6F4" w14:textId="77777777" w:rsidR="00CB3388" w:rsidRDefault="00CB3388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63931B4A" w14:textId="77777777" w:rsidR="00CB3388" w:rsidRPr="005F4418" w:rsidRDefault="00CB3388" w:rsidP="005F4418">
          <w:r w:rsidRPr="005F4418">
            <w:rPr>
              <w:noProof/>
              <w:lang w:eastAsia="cs-CZ"/>
            </w:rPr>
            <w:drawing>
              <wp:anchor distT="0" distB="0" distL="114300" distR="114300" simplePos="0" relativeHeight="251656192" behindDoc="0" locked="1" layoutInCell="1" allowOverlap="1" wp14:anchorId="42E91713" wp14:editId="03270C0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39E57B0" w14:textId="77777777" w:rsidR="00CB3388" w:rsidRPr="00D6163D" w:rsidRDefault="00CB3388" w:rsidP="00FC6389">
    <w:pPr>
      <w:pStyle w:val="Zhlav"/>
      <w:rPr>
        <w:sz w:val="8"/>
        <w:szCs w:val="8"/>
      </w:rPr>
    </w:pPr>
  </w:p>
  <w:p w14:paraId="1C96FA51" w14:textId="77777777" w:rsidR="00CB3388" w:rsidRPr="00460660" w:rsidRDefault="00CB3388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4055C" w14:textId="77777777" w:rsidR="00CB3388" w:rsidRDefault="00CB338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B3388" w14:paraId="2B73F83D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449B76CF" w14:textId="77777777" w:rsidR="00CB3388" w:rsidRDefault="00CB3388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1B29BE3D" w14:textId="77777777" w:rsidR="00CB3388" w:rsidRPr="00D31458" w:rsidRDefault="00CB3388" w:rsidP="00D31458"/>
      </w:tc>
    </w:tr>
  </w:tbl>
  <w:p w14:paraId="1B06F9FB" w14:textId="77777777" w:rsidR="00CB3388" w:rsidRPr="00D6163D" w:rsidRDefault="00CB3388" w:rsidP="00FC6389">
    <w:pPr>
      <w:pStyle w:val="Zhlav"/>
      <w:rPr>
        <w:sz w:val="8"/>
        <w:szCs w:val="8"/>
      </w:rPr>
    </w:pPr>
  </w:p>
  <w:p w14:paraId="75B0C009" w14:textId="77777777" w:rsidR="00CB3388" w:rsidRPr="00460660" w:rsidRDefault="00CB3388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7DD7" w14:textId="77777777" w:rsidR="00CB3388" w:rsidRPr="00D6163D" w:rsidRDefault="00CB3388">
    <w:pPr>
      <w:pStyle w:val="Zhlav"/>
      <w:rPr>
        <w:sz w:val="8"/>
        <w:szCs w:val="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B3388" w14:paraId="3EBE24F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F3FDE3" w14:textId="77777777" w:rsidR="00CB3388" w:rsidRPr="00B8518B" w:rsidRDefault="00CB338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5FC4AF" w14:textId="77777777" w:rsidR="00CB3388" w:rsidRDefault="00CB338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093189" w14:textId="77777777" w:rsidR="00CB3388" w:rsidRPr="00D6163D" w:rsidRDefault="00CB3388" w:rsidP="00FC6389">
          <w:pPr>
            <w:pStyle w:val="Druhdokumentu"/>
          </w:pPr>
        </w:p>
      </w:tc>
    </w:tr>
    <w:tr w:rsidR="00CB3388" w14:paraId="48CC997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9C1907" w14:textId="77777777" w:rsidR="00CB3388" w:rsidRPr="00B8518B" w:rsidRDefault="00CB338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78F576" w14:textId="77777777" w:rsidR="00CB3388" w:rsidRDefault="00CB338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6D9A7E" w14:textId="77777777" w:rsidR="00CB3388" w:rsidRPr="00D6163D" w:rsidRDefault="00CB3388" w:rsidP="00FC6389">
          <w:pPr>
            <w:pStyle w:val="Druhdokumentu"/>
          </w:pPr>
        </w:p>
      </w:tc>
    </w:tr>
  </w:tbl>
  <w:p w14:paraId="6C27F47E" w14:textId="77777777" w:rsidR="00CB3388" w:rsidRPr="00D6163D" w:rsidRDefault="00CB3388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0C04E6AC" wp14:editId="331219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B818E" w14:textId="77777777" w:rsidR="00CB3388" w:rsidRPr="00460660" w:rsidRDefault="00CB3388">
    <w:pPr>
      <w:pStyle w:val="Zhlav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0095" w14:textId="77777777" w:rsidR="00CB3388" w:rsidRDefault="00CB33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8A0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C7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16B6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26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860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BA0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9A5C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A7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E6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E6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0CEC6D70"/>
    <w:multiLevelType w:val="multilevel"/>
    <w:tmpl w:val="0D34D660"/>
    <w:numStyleLink w:val="ListBulletmultilevel"/>
  </w:abstractNum>
  <w:abstractNum w:abstractNumId="12" w15:restartNumberingAfterBreak="0">
    <w:nsid w:val="11C44B5B"/>
    <w:multiLevelType w:val="multilevel"/>
    <w:tmpl w:val="CABE99FC"/>
    <w:numStyleLink w:val="ListNumbermultilevel"/>
  </w:abstractNum>
  <w:abstractNum w:abstractNumId="13" w15:restartNumberingAfterBreak="0">
    <w:nsid w:val="13902BDE"/>
    <w:multiLevelType w:val="hybridMultilevel"/>
    <w:tmpl w:val="5E5A3E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5" w15:restartNumberingAfterBreak="0">
    <w:nsid w:val="1C7A3187"/>
    <w:multiLevelType w:val="multilevel"/>
    <w:tmpl w:val="CABE99FC"/>
    <w:numStyleLink w:val="ListNumbermultilevel"/>
  </w:abstractNum>
  <w:abstractNum w:abstractNumId="16" w15:restartNumberingAfterBreak="0">
    <w:nsid w:val="1EF31079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F7590"/>
    <w:multiLevelType w:val="hybridMultilevel"/>
    <w:tmpl w:val="E15A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76403"/>
    <w:multiLevelType w:val="multilevel"/>
    <w:tmpl w:val="0D34D660"/>
    <w:numStyleLink w:val="ListBulletmultilevel"/>
  </w:abstractNum>
  <w:abstractNum w:abstractNumId="19" w15:restartNumberingAfterBreak="0">
    <w:nsid w:val="2DC936CD"/>
    <w:multiLevelType w:val="hybridMultilevel"/>
    <w:tmpl w:val="32B48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E549F"/>
    <w:multiLevelType w:val="multilevel"/>
    <w:tmpl w:val="CABE99FC"/>
    <w:numStyleLink w:val="ListNumbermultilevel"/>
  </w:abstractNum>
  <w:abstractNum w:abstractNumId="21" w15:restartNumberingAfterBreak="0">
    <w:nsid w:val="38BD57F9"/>
    <w:multiLevelType w:val="hybridMultilevel"/>
    <w:tmpl w:val="83EC5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92875"/>
    <w:multiLevelType w:val="hybridMultilevel"/>
    <w:tmpl w:val="7BE43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01084"/>
    <w:multiLevelType w:val="hybridMultilevel"/>
    <w:tmpl w:val="6E5C2D6E"/>
    <w:lvl w:ilvl="0" w:tplc="9FF29A64">
      <w:start w:val="202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A648D"/>
    <w:multiLevelType w:val="hybridMultilevel"/>
    <w:tmpl w:val="509CD08E"/>
    <w:lvl w:ilvl="0" w:tplc="C0B6A3C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328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B4823AB"/>
    <w:multiLevelType w:val="hybridMultilevel"/>
    <w:tmpl w:val="376A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261D2"/>
    <w:multiLevelType w:val="hybridMultilevel"/>
    <w:tmpl w:val="E146C42C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1833B88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E347E82"/>
    <w:multiLevelType w:val="multilevel"/>
    <w:tmpl w:val="CABE99FC"/>
    <w:numStyleLink w:val="ListNumbermultilevel"/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5593469"/>
    <w:multiLevelType w:val="hybridMultilevel"/>
    <w:tmpl w:val="B0BA4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FD28ED"/>
    <w:multiLevelType w:val="hybridMultilevel"/>
    <w:tmpl w:val="2A32461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4" w15:restartNumberingAfterBreak="0">
    <w:nsid w:val="7D5156CA"/>
    <w:multiLevelType w:val="hybridMultilevel"/>
    <w:tmpl w:val="911A126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56206734">
    <w:abstractNumId w:val="14"/>
  </w:num>
  <w:num w:numId="2" w16cid:durableId="51006962">
    <w:abstractNumId w:val="10"/>
  </w:num>
  <w:num w:numId="3" w16cid:durableId="16214535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1756257">
    <w:abstractNumId w:val="18"/>
  </w:num>
  <w:num w:numId="5" w16cid:durableId="983460993">
    <w:abstractNumId w:val="31"/>
  </w:num>
  <w:num w:numId="6" w16cid:durableId="1827013860">
    <w:abstractNumId w:val="29"/>
  </w:num>
  <w:num w:numId="7" w16cid:durableId="1603296964">
    <w:abstractNumId w:val="11"/>
  </w:num>
  <w:num w:numId="8" w16cid:durableId="300889893">
    <w:abstractNumId w:val="9"/>
  </w:num>
  <w:num w:numId="9" w16cid:durableId="1492986934">
    <w:abstractNumId w:val="7"/>
  </w:num>
  <w:num w:numId="10" w16cid:durableId="322590166">
    <w:abstractNumId w:val="6"/>
  </w:num>
  <w:num w:numId="11" w16cid:durableId="959921328">
    <w:abstractNumId w:val="5"/>
  </w:num>
  <w:num w:numId="12" w16cid:durableId="95829670">
    <w:abstractNumId w:val="4"/>
  </w:num>
  <w:num w:numId="13" w16cid:durableId="122627117">
    <w:abstractNumId w:val="15"/>
  </w:num>
  <w:num w:numId="14" w16cid:durableId="15694600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6194118">
    <w:abstractNumId w:val="8"/>
  </w:num>
  <w:num w:numId="16" w16cid:durableId="1639796318">
    <w:abstractNumId w:val="3"/>
  </w:num>
  <w:num w:numId="17" w16cid:durableId="1465614232">
    <w:abstractNumId w:val="2"/>
  </w:num>
  <w:num w:numId="18" w16cid:durableId="214975456">
    <w:abstractNumId w:val="1"/>
  </w:num>
  <w:num w:numId="19" w16cid:durableId="1730570542">
    <w:abstractNumId w:val="0"/>
  </w:num>
  <w:num w:numId="20" w16cid:durableId="11101271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3262644">
    <w:abstractNumId w:val="25"/>
  </w:num>
  <w:num w:numId="22" w16cid:durableId="1049496120">
    <w:abstractNumId w:val="17"/>
  </w:num>
  <w:num w:numId="23" w16cid:durableId="117724088">
    <w:abstractNumId w:val="16"/>
  </w:num>
  <w:num w:numId="24" w16cid:durableId="1338386806">
    <w:abstractNumId w:val="12"/>
  </w:num>
  <w:num w:numId="25" w16cid:durableId="1422143951">
    <w:abstractNumId w:val="30"/>
  </w:num>
  <w:num w:numId="26" w16cid:durableId="15785202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4042226">
    <w:abstractNumId w:val="28"/>
  </w:num>
  <w:num w:numId="28" w16cid:durableId="16960387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20444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1834239">
    <w:abstractNumId w:val="34"/>
  </w:num>
  <w:num w:numId="31" w16cid:durableId="882248846">
    <w:abstractNumId w:val="27"/>
  </w:num>
  <w:num w:numId="32" w16cid:durableId="1824660497">
    <w:abstractNumId w:val="21"/>
  </w:num>
  <w:num w:numId="33" w16cid:durableId="1232470820">
    <w:abstractNumId w:val="33"/>
  </w:num>
  <w:num w:numId="34" w16cid:durableId="2082604065">
    <w:abstractNumId w:val="24"/>
  </w:num>
  <w:num w:numId="35" w16cid:durableId="269243505">
    <w:abstractNumId w:val="23"/>
  </w:num>
  <w:num w:numId="36" w16cid:durableId="1961766984">
    <w:abstractNumId w:val="26"/>
  </w:num>
  <w:num w:numId="37" w16cid:durableId="257371477">
    <w:abstractNumId w:val="29"/>
  </w:num>
  <w:num w:numId="38" w16cid:durableId="1421485255">
    <w:abstractNumId w:val="13"/>
  </w:num>
  <w:num w:numId="39" w16cid:durableId="1484810947">
    <w:abstractNumId w:val="19"/>
  </w:num>
  <w:num w:numId="40" w16cid:durableId="1423837932">
    <w:abstractNumId w:val="22"/>
  </w:num>
  <w:num w:numId="41" w16cid:durableId="1123112098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07"/>
    <w:rsid w:val="00004099"/>
    <w:rsid w:val="0001261E"/>
    <w:rsid w:val="00016BC4"/>
    <w:rsid w:val="00024B6A"/>
    <w:rsid w:val="00026BEA"/>
    <w:rsid w:val="000274D4"/>
    <w:rsid w:val="00031814"/>
    <w:rsid w:val="00031861"/>
    <w:rsid w:val="00040192"/>
    <w:rsid w:val="00051ED9"/>
    <w:rsid w:val="00060DF6"/>
    <w:rsid w:val="0007287C"/>
    <w:rsid w:val="00072C1E"/>
    <w:rsid w:val="00077F33"/>
    <w:rsid w:val="00081652"/>
    <w:rsid w:val="00085CF4"/>
    <w:rsid w:val="00095E60"/>
    <w:rsid w:val="000972BF"/>
    <w:rsid w:val="000A3432"/>
    <w:rsid w:val="000A49FC"/>
    <w:rsid w:val="000B1FCB"/>
    <w:rsid w:val="000B4EB8"/>
    <w:rsid w:val="000C41F2"/>
    <w:rsid w:val="000D22C4"/>
    <w:rsid w:val="000D27D1"/>
    <w:rsid w:val="000D5C75"/>
    <w:rsid w:val="000F25F5"/>
    <w:rsid w:val="000F2A5F"/>
    <w:rsid w:val="00107E20"/>
    <w:rsid w:val="00114472"/>
    <w:rsid w:val="001150F2"/>
    <w:rsid w:val="00116E30"/>
    <w:rsid w:val="00117D71"/>
    <w:rsid w:val="00120D55"/>
    <w:rsid w:val="0014707C"/>
    <w:rsid w:val="001560F4"/>
    <w:rsid w:val="001643D8"/>
    <w:rsid w:val="0016517B"/>
    <w:rsid w:val="00167561"/>
    <w:rsid w:val="0017002F"/>
    <w:rsid w:val="00170EC5"/>
    <w:rsid w:val="001738AB"/>
    <w:rsid w:val="001745C2"/>
    <w:rsid w:val="001747C1"/>
    <w:rsid w:val="00185A61"/>
    <w:rsid w:val="00193398"/>
    <w:rsid w:val="0019468F"/>
    <w:rsid w:val="001A1D6B"/>
    <w:rsid w:val="001A20A1"/>
    <w:rsid w:val="001A7B27"/>
    <w:rsid w:val="001B40BD"/>
    <w:rsid w:val="001B4E74"/>
    <w:rsid w:val="001F388A"/>
    <w:rsid w:val="001F73B9"/>
    <w:rsid w:val="00203556"/>
    <w:rsid w:val="00207326"/>
    <w:rsid w:val="00207DF5"/>
    <w:rsid w:val="00210561"/>
    <w:rsid w:val="00211E65"/>
    <w:rsid w:val="00213AE1"/>
    <w:rsid w:val="00213F08"/>
    <w:rsid w:val="00221422"/>
    <w:rsid w:val="00240F37"/>
    <w:rsid w:val="00241715"/>
    <w:rsid w:val="00244614"/>
    <w:rsid w:val="00253D6E"/>
    <w:rsid w:val="00254350"/>
    <w:rsid w:val="002568CA"/>
    <w:rsid w:val="00261A5B"/>
    <w:rsid w:val="00262DB0"/>
    <w:rsid w:val="00263B0D"/>
    <w:rsid w:val="00285560"/>
    <w:rsid w:val="00285DF3"/>
    <w:rsid w:val="00286DEF"/>
    <w:rsid w:val="00290D3D"/>
    <w:rsid w:val="002977A0"/>
    <w:rsid w:val="00297F28"/>
    <w:rsid w:val="002A00DF"/>
    <w:rsid w:val="002A39DA"/>
    <w:rsid w:val="002A589A"/>
    <w:rsid w:val="002C1B99"/>
    <w:rsid w:val="002C31BF"/>
    <w:rsid w:val="002C7443"/>
    <w:rsid w:val="002D0243"/>
    <w:rsid w:val="002D4E59"/>
    <w:rsid w:val="002E0CD7"/>
    <w:rsid w:val="003048C2"/>
    <w:rsid w:val="00305146"/>
    <w:rsid w:val="00316858"/>
    <w:rsid w:val="00316E31"/>
    <w:rsid w:val="00327EEF"/>
    <w:rsid w:val="00330262"/>
    <w:rsid w:val="00330269"/>
    <w:rsid w:val="00331E6D"/>
    <w:rsid w:val="0034356D"/>
    <w:rsid w:val="00343738"/>
    <w:rsid w:val="0034719F"/>
    <w:rsid w:val="00356171"/>
    <w:rsid w:val="003571D8"/>
    <w:rsid w:val="00357BC6"/>
    <w:rsid w:val="00361422"/>
    <w:rsid w:val="00364BD9"/>
    <w:rsid w:val="003668A7"/>
    <w:rsid w:val="00366A5B"/>
    <w:rsid w:val="00376E40"/>
    <w:rsid w:val="00382B63"/>
    <w:rsid w:val="00392F8E"/>
    <w:rsid w:val="003932DA"/>
    <w:rsid w:val="003956C6"/>
    <w:rsid w:val="003A6524"/>
    <w:rsid w:val="003A7D6C"/>
    <w:rsid w:val="003B157D"/>
    <w:rsid w:val="003C08C0"/>
    <w:rsid w:val="003C33F2"/>
    <w:rsid w:val="003D0CE7"/>
    <w:rsid w:val="003E789D"/>
    <w:rsid w:val="003F5842"/>
    <w:rsid w:val="0040081A"/>
    <w:rsid w:val="00400CF8"/>
    <w:rsid w:val="00401D49"/>
    <w:rsid w:val="004255D8"/>
    <w:rsid w:val="004475F4"/>
    <w:rsid w:val="00450F07"/>
    <w:rsid w:val="00451255"/>
    <w:rsid w:val="00453CD3"/>
    <w:rsid w:val="0045582C"/>
    <w:rsid w:val="00460660"/>
    <w:rsid w:val="00465115"/>
    <w:rsid w:val="00471225"/>
    <w:rsid w:val="004832E2"/>
    <w:rsid w:val="00486107"/>
    <w:rsid w:val="00491292"/>
    <w:rsid w:val="00491827"/>
    <w:rsid w:val="00496E3E"/>
    <w:rsid w:val="004B06EE"/>
    <w:rsid w:val="004B68DA"/>
    <w:rsid w:val="004C2911"/>
    <w:rsid w:val="004C4399"/>
    <w:rsid w:val="004C61C9"/>
    <w:rsid w:val="004C75AE"/>
    <w:rsid w:val="004C787C"/>
    <w:rsid w:val="004D136D"/>
    <w:rsid w:val="004D44B3"/>
    <w:rsid w:val="004E08F4"/>
    <w:rsid w:val="004E385A"/>
    <w:rsid w:val="004E47A8"/>
    <w:rsid w:val="004E49CB"/>
    <w:rsid w:val="004E724C"/>
    <w:rsid w:val="004E7A1F"/>
    <w:rsid w:val="004F4B9B"/>
    <w:rsid w:val="004F79FB"/>
    <w:rsid w:val="00511AB9"/>
    <w:rsid w:val="00517000"/>
    <w:rsid w:val="00523BB5"/>
    <w:rsid w:val="00523EA7"/>
    <w:rsid w:val="00527AA1"/>
    <w:rsid w:val="00532858"/>
    <w:rsid w:val="005406EB"/>
    <w:rsid w:val="00543855"/>
    <w:rsid w:val="00550F36"/>
    <w:rsid w:val="00553375"/>
    <w:rsid w:val="00557CAE"/>
    <w:rsid w:val="00557DBF"/>
    <w:rsid w:val="00563B6D"/>
    <w:rsid w:val="00565D61"/>
    <w:rsid w:val="00572F45"/>
    <w:rsid w:val="0057364E"/>
    <w:rsid w:val="005736B7"/>
    <w:rsid w:val="00575E5A"/>
    <w:rsid w:val="0057703D"/>
    <w:rsid w:val="005850DB"/>
    <w:rsid w:val="0059045A"/>
    <w:rsid w:val="0059503C"/>
    <w:rsid w:val="0059587F"/>
    <w:rsid w:val="005967C1"/>
    <w:rsid w:val="005B4D80"/>
    <w:rsid w:val="005C1916"/>
    <w:rsid w:val="005C3416"/>
    <w:rsid w:val="005C4EFA"/>
    <w:rsid w:val="005D6655"/>
    <w:rsid w:val="005E1491"/>
    <w:rsid w:val="005E38B3"/>
    <w:rsid w:val="005E45FA"/>
    <w:rsid w:val="005F4418"/>
    <w:rsid w:val="005F763D"/>
    <w:rsid w:val="00603007"/>
    <w:rsid w:val="006052AD"/>
    <w:rsid w:val="0061068E"/>
    <w:rsid w:val="00611973"/>
    <w:rsid w:val="00611ED5"/>
    <w:rsid w:val="00617971"/>
    <w:rsid w:val="00636012"/>
    <w:rsid w:val="00641009"/>
    <w:rsid w:val="0065610E"/>
    <w:rsid w:val="00660AD3"/>
    <w:rsid w:val="006619D9"/>
    <w:rsid w:val="006655E3"/>
    <w:rsid w:val="00677F22"/>
    <w:rsid w:val="006A0C86"/>
    <w:rsid w:val="006A28E7"/>
    <w:rsid w:val="006A5570"/>
    <w:rsid w:val="006A689C"/>
    <w:rsid w:val="006B3D79"/>
    <w:rsid w:val="006C240C"/>
    <w:rsid w:val="006D18E2"/>
    <w:rsid w:val="006D5700"/>
    <w:rsid w:val="006E0578"/>
    <w:rsid w:val="006E1E5B"/>
    <w:rsid w:val="006E314D"/>
    <w:rsid w:val="00705719"/>
    <w:rsid w:val="00706110"/>
    <w:rsid w:val="00710723"/>
    <w:rsid w:val="00717B92"/>
    <w:rsid w:val="00723ED1"/>
    <w:rsid w:val="007265A9"/>
    <w:rsid w:val="007331A0"/>
    <w:rsid w:val="00735178"/>
    <w:rsid w:val="00742B14"/>
    <w:rsid w:val="00743525"/>
    <w:rsid w:val="007479D4"/>
    <w:rsid w:val="007602DD"/>
    <w:rsid w:val="0076084B"/>
    <w:rsid w:val="0076286B"/>
    <w:rsid w:val="00766846"/>
    <w:rsid w:val="00775549"/>
    <w:rsid w:val="0077673A"/>
    <w:rsid w:val="007846E1"/>
    <w:rsid w:val="00790812"/>
    <w:rsid w:val="007A0D39"/>
    <w:rsid w:val="007A5172"/>
    <w:rsid w:val="007B2608"/>
    <w:rsid w:val="007B2700"/>
    <w:rsid w:val="007B570C"/>
    <w:rsid w:val="007B62E7"/>
    <w:rsid w:val="007B777A"/>
    <w:rsid w:val="007C3E16"/>
    <w:rsid w:val="007C45C0"/>
    <w:rsid w:val="007C5120"/>
    <w:rsid w:val="007C6843"/>
    <w:rsid w:val="007C7F9B"/>
    <w:rsid w:val="007D0BD6"/>
    <w:rsid w:val="007E3370"/>
    <w:rsid w:val="007E4A6E"/>
    <w:rsid w:val="007E5335"/>
    <w:rsid w:val="007F439D"/>
    <w:rsid w:val="007F56A7"/>
    <w:rsid w:val="007F647F"/>
    <w:rsid w:val="00807DD0"/>
    <w:rsid w:val="00831F3E"/>
    <w:rsid w:val="00833CDF"/>
    <w:rsid w:val="008348D4"/>
    <w:rsid w:val="008374A5"/>
    <w:rsid w:val="008419BB"/>
    <w:rsid w:val="00842EFD"/>
    <w:rsid w:val="00846E75"/>
    <w:rsid w:val="0085228A"/>
    <w:rsid w:val="0085366B"/>
    <w:rsid w:val="0085643B"/>
    <w:rsid w:val="00864B7C"/>
    <w:rsid w:val="00865F6F"/>
    <w:rsid w:val="008802B0"/>
    <w:rsid w:val="00885FEB"/>
    <w:rsid w:val="00886B8E"/>
    <w:rsid w:val="008A1009"/>
    <w:rsid w:val="008A3568"/>
    <w:rsid w:val="008B2379"/>
    <w:rsid w:val="008B4BDD"/>
    <w:rsid w:val="008C400B"/>
    <w:rsid w:val="008D03B9"/>
    <w:rsid w:val="008D6CFC"/>
    <w:rsid w:val="008E035E"/>
    <w:rsid w:val="008E484E"/>
    <w:rsid w:val="008E50C0"/>
    <w:rsid w:val="008E6BB6"/>
    <w:rsid w:val="008F0F55"/>
    <w:rsid w:val="008F18D6"/>
    <w:rsid w:val="008F2777"/>
    <w:rsid w:val="00904780"/>
    <w:rsid w:val="009143D1"/>
    <w:rsid w:val="009157A0"/>
    <w:rsid w:val="00922385"/>
    <w:rsid w:val="009223DF"/>
    <w:rsid w:val="00932C4B"/>
    <w:rsid w:val="009337B4"/>
    <w:rsid w:val="00935B33"/>
    <w:rsid w:val="00936091"/>
    <w:rsid w:val="009370BD"/>
    <w:rsid w:val="0094018B"/>
    <w:rsid w:val="00940D8A"/>
    <w:rsid w:val="009469BE"/>
    <w:rsid w:val="00954BBA"/>
    <w:rsid w:val="00955182"/>
    <w:rsid w:val="00957740"/>
    <w:rsid w:val="00960752"/>
    <w:rsid w:val="00962258"/>
    <w:rsid w:val="009678B7"/>
    <w:rsid w:val="00976CB7"/>
    <w:rsid w:val="0097747F"/>
    <w:rsid w:val="00992D9C"/>
    <w:rsid w:val="00994C23"/>
    <w:rsid w:val="00996CB8"/>
    <w:rsid w:val="009A4240"/>
    <w:rsid w:val="009B2E97"/>
    <w:rsid w:val="009B482B"/>
    <w:rsid w:val="009C3699"/>
    <w:rsid w:val="009C442C"/>
    <w:rsid w:val="009D6B21"/>
    <w:rsid w:val="009E07F4"/>
    <w:rsid w:val="009F309B"/>
    <w:rsid w:val="009F392E"/>
    <w:rsid w:val="009F5819"/>
    <w:rsid w:val="00A04B8F"/>
    <w:rsid w:val="00A213AE"/>
    <w:rsid w:val="00A30A35"/>
    <w:rsid w:val="00A3567E"/>
    <w:rsid w:val="00A45964"/>
    <w:rsid w:val="00A45BFE"/>
    <w:rsid w:val="00A50641"/>
    <w:rsid w:val="00A530BF"/>
    <w:rsid w:val="00A555D3"/>
    <w:rsid w:val="00A5667E"/>
    <w:rsid w:val="00A6177B"/>
    <w:rsid w:val="00A63B05"/>
    <w:rsid w:val="00A64FCE"/>
    <w:rsid w:val="00A66136"/>
    <w:rsid w:val="00A666D8"/>
    <w:rsid w:val="00A71189"/>
    <w:rsid w:val="00A753ED"/>
    <w:rsid w:val="00A812B8"/>
    <w:rsid w:val="00A81E17"/>
    <w:rsid w:val="00A83FCD"/>
    <w:rsid w:val="00A91B80"/>
    <w:rsid w:val="00A94C2F"/>
    <w:rsid w:val="00A95212"/>
    <w:rsid w:val="00AA4CBB"/>
    <w:rsid w:val="00AA65FA"/>
    <w:rsid w:val="00AA7351"/>
    <w:rsid w:val="00AB70FA"/>
    <w:rsid w:val="00AB7A90"/>
    <w:rsid w:val="00AC6599"/>
    <w:rsid w:val="00AD056F"/>
    <w:rsid w:val="00AD24F2"/>
    <w:rsid w:val="00AD6731"/>
    <w:rsid w:val="00AE0362"/>
    <w:rsid w:val="00AE6C45"/>
    <w:rsid w:val="00AF1414"/>
    <w:rsid w:val="00AF5A60"/>
    <w:rsid w:val="00B008D5"/>
    <w:rsid w:val="00B02CF9"/>
    <w:rsid w:val="00B03C60"/>
    <w:rsid w:val="00B114E0"/>
    <w:rsid w:val="00B13EBB"/>
    <w:rsid w:val="00B15D0D"/>
    <w:rsid w:val="00B17F62"/>
    <w:rsid w:val="00B262F2"/>
    <w:rsid w:val="00B34E92"/>
    <w:rsid w:val="00B35034"/>
    <w:rsid w:val="00B45260"/>
    <w:rsid w:val="00B5229F"/>
    <w:rsid w:val="00B67125"/>
    <w:rsid w:val="00B741E3"/>
    <w:rsid w:val="00B75EE1"/>
    <w:rsid w:val="00B77481"/>
    <w:rsid w:val="00B830AC"/>
    <w:rsid w:val="00B8518B"/>
    <w:rsid w:val="00B866E6"/>
    <w:rsid w:val="00BA2ED9"/>
    <w:rsid w:val="00BA476F"/>
    <w:rsid w:val="00BA4BF8"/>
    <w:rsid w:val="00BA5C71"/>
    <w:rsid w:val="00BB6068"/>
    <w:rsid w:val="00BC1FB7"/>
    <w:rsid w:val="00BC224D"/>
    <w:rsid w:val="00BC4418"/>
    <w:rsid w:val="00BD2A11"/>
    <w:rsid w:val="00BD2EBB"/>
    <w:rsid w:val="00BD75A6"/>
    <w:rsid w:val="00BD7A3F"/>
    <w:rsid w:val="00BD7E91"/>
    <w:rsid w:val="00BD7F0D"/>
    <w:rsid w:val="00BE1A37"/>
    <w:rsid w:val="00BE2E2E"/>
    <w:rsid w:val="00BE42D7"/>
    <w:rsid w:val="00BF34EC"/>
    <w:rsid w:val="00C02D0A"/>
    <w:rsid w:val="00C03A6E"/>
    <w:rsid w:val="00C05343"/>
    <w:rsid w:val="00C107A2"/>
    <w:rsid w:val="00C1082F"/>
    <w:rsid w:val="00C226C0"/>
    <w:rsid w:val="00C257BB"/>
    <w:rsid w:val="00C25F02"/>
    <w:rsid w:val="00C27C42"/>
    <w:rsid w:val="00C301E3"/>
    <w:rsid w:val="00C334B2"/>
    <w:rsid w:val="00C44F6A"/>
    <w:rsid w:val="00C46F78"/>
    <w:rsid w:val="00C4736C"/>
    <w:rsid w:val="00C6198E"/>
    <w:rsid w:val="00C656CE"/>
    <w:rsid w:val="00C7753E"/>
    <w:rsid w:val="00C778A5"/>
    <w:rsid w:val="00C931CC"/>
    <w:rsid w:val="00C95162"/>
    <w:rsid w:val="00CA4AFF"/>
    <w:rsid w:val="00CB0646"/>
    <w:rsid w:val="00CB3388"/>
    <w:rsid w:val="00CC726B"/>
    <w:rsid w:val="00CD01E5"/>
    <w:rsid w:val="00CD0CBD"/>
    <w:rsid w:val="00CD1FC4"/>
    <w:rsid w:val="00CD479A"/>
    <w:rsid w:val="00D034A0"/>
    <w:rsid w:val="00D0776F"/>
    <w:rsid w:val="00D110B6"/>
    <w:rsid w:val="00D21061"/>
    <w:rsid w:val="00D31458"/>
    <w:rsid w:val="00D4108E"/>
    <w:rsid w:val="00D422A4"/>
    <w:rsid w:val="00D6163D"/>
    <w:rsid w:val="00D67FCD"/>
    <w:rsid w:val="00D71F12"/>
    <w:rsid w:val="00D723F2"/>
    <w:rsid w:val="00D749D3"/>
    <w:rsid w:val="00D8193F"/>
    <w:rsid w:val="00D831A3"/>
    <w:rsid w:val="00D923CD"/>
    <w:rsid w:val="00D93BCA"/>
    <w:rsid w:val="00DA3711"/>
    <w:rsid w:val="00DA3C82"/>
    <w:rsid w:val="00DB1F30"/>
    <w:rsid w:val="00DB4B4A"/>
    <w:rsid w:val="00DB4E3E"/>
    <w:rsid w:val="00DC39D2"/>
    <w:rsid w:val="00DD46F3"/>
    <w:rsid w:val="00DD68A9"/>
    <w:rsid w:val="00DE504D"/>
    <w:rsid w:val="00DE56F2"/>
    <w:rsid w:val="00DF116D"/>
    <w:rsid w:val="00DF5FF4"/>
    <w:rsid w:val="00E16FF7"/>
    <w:rsid w:val="00E1761F"/>
    <w:rsid w:val="00E55569"/>
    <w:rsid w:val="00E72BF8"/>
    <w:rsid w:val="00E74AE3"/>
    <w:rsid w:val="00E840BF"/>
    <w:rsid w:val="00EA1231"/>
    <w:rsid w:val="00EB104F"/>
    <w:rsid w:val="00EB6BA0"/>
    <w:rsid w:val="00EB7288"/>
    <w:rsid w:val="00EC5B51"/>
    <w:rsid w:val="00EC6CD9"/>
    <w:rsid w:val="00ED14BD"/>
    <w:rsid w:val="00EE2F0C"/>
    <w:rsid w:val="00F016C7"/>
    <w:rsid w:val="00F048F0"/>
    <w:rsid w:val="00F12DEC"/>
    <w:rsid w:val="00F1715C"/>
    <w:rsid w:val="00F24A8F"/>
    <w:rsid w:val="00F310F8"/>
    <w:rsid w:val="00F32207"/>
    <w:rsid w:val="00F35939"/>
    <w:rsid w:val="00F40D38"/>
    <w:rsid w:val="00F45607"/>
    <w:rsid w:val="00F46E66"/>
    <w:rsid w:val="00F477B5"/>
    <w:rsid w:val="00F5041B"/>
    <w:rsid w:val="00F50673"/>
    <w:rsid w:val="00F51C9A"/>
    <w:rsid w:val="00F53024"/>
    <w:rsid w:val="00F5393C"/>
    <w:rsid w:val="00F56F1D"/>
    <w:rsid w:val="00F659EB"/>
    <w:rsid w:val="00F853BE"/>
    <w:rsid w:val="00F854E2"/>
    <w:rsid w:val="00F86BA6"/>
    <w:rsid w:val="00F955EF"/>
    <w:rsid w:val="00FA129F"/>
    <w:rsid w:val="00FA3806"/>
    <w:rsid w:val="00FA40FC"/>
    <w:rsid w:val="00FA4B7D"/>
    <w:rsid w:val="00FA6549"/>
    <w:rsid w:val="00FA6A71"/>
    <w:rsid w:val="00FB137B"/>
    <w:rsid w:val="00FB246E"/>
    <w:rsid w:val="00FB61BF"/>
    <w:rsid w:val="00FB6342"/>
    <w:rsid w:val="00FB74A4"/>
    <w:rsid w:val="00FC6389"/>
    <w:rsid w:val="00FC7FE4"/>
    <w:rsid w:val="00FD06A3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7CBBA7"/>
  <w14:defaultImageDpi w14:val="330"/>
  <w15:docId w15:val="{2CDD02C1-7B57-4806-89CF-EB1E21AA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8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0AC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6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6"/>
      </w:numP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6"/>
      </w:numPr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2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21E5C5A46A458DBBC991FE1BD470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5E5134-CACE-41AB-A72F-00582392E227}"/>
      </w:docPartPr>
      <w:docPartBody>
        <w:p w:rsidR="00920608" w:rsidRDefault="00DE77D9">
          <w:pPr>
            <w:pStyle w:val="2221E5C5A46A458DBBC991FE1BD47097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608"/>
    <w:rsid w:val="00060388"/>
    <w:rsid w:val="00092F95"/>
    <w:rsid w:val="00110C4B"/>
    <w:rsid w:val="0014129A"/>
    <w:rsid w:val="001667FE"/>
    <w:rsid w:val="001767B3"/>
    <w:rsid w:val="0017760D"/>
    <w:rsid w:val="003150A9"/>
    <w:rsid w:val="00385A8A"/>
    <w:rsid w:val="004528D5"/>
    <w:rsid w:val="004B6757"/>
    <w:rsid w:val="00540EE2"/>
    <w:rsid w:val="00631599"/>
    <w:rsid w:val="00676803"/>
    <w:rsid w:val="008067B1"/>
    <w:rsid w:val="00806DD4"/>
    <w:rsid w:val="00867ED4"/>
    <w:rsid w:val="008A1AB0"/>
    <w:rsid w:val="00920608"/>
    <w:rsid w:val="00985B09"/>
    <w:rsid w:val="00B4190A"/>
    <w:rsid w:val="00B45D9B"/>
    <w:rsid w:val="00B711C4"/>
    <w:rsid w:val="00BB4AE4"/>
    <w:rsid w:val="00C81344"/>
    <w:rsid w:val="00CC748A"/>
    <w:rsid w:val="00CD400D"/>
    <w:rsid w:val="00D44F15"/>
    <w:rsid w:val="00DE77D9"/>
    <w:rsid w:val="00E248CD"/>
    <w:rsid w:val="00F4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221E5C5A46A458DBBC991FE1BD47097">
    <w:name w:val="2221E5C5A46A458DBBC991FE1BD470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41A4C6-77AC-4229-9463-FE076E08B84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BECC15-C335-46E0-9B43-5D61CE748B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14</Pages>
  <Words>3171</Words>
  <Characters>18712</Characters>
  <Application>Microsoft Office Word</Application>
  <DocSecurity>0</DocSecurity>
  <Lines>155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Studie proveditelnosti trati Velký Osek – Hradec Králové – Choceň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21840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 proveditelnosti trati Velký Osek – Hradec Králové – Choceň</dc:title>
  <dc:creator>Kratochvíl Petr, Ing.</dc:creator>
  <cp:lastModifiedBy>Lastovecký Peter, Ing.</cp:lastModifiedBy>
  <cp:revision>13</cp:revision>
  <cp:lastPrinted>2022-06-14T04:39:00Z</cp:lastPrinted>
  <dcterms:created xsi:type="dcterms:W3CDTF">2022-03-08T08:20:00Z</dcterms:created>
  <dcterms:modified xsi:type="dcterms:W3CDTF">2022-06-14T04:39:00Z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