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42BCC" w:rsidRPr="00342BCC">
        <w:rPr>
          <w:rFonts w:ascii="Verdana" w:hAnsi="Verdana"/>
          <w:sz w:val="18"/>
          <w:szCs w:val="18"/>
        </w:rPr>
        <w:t>Nákup nátěrových hmot a malířských potřeb na údržbu zařízení provozuschopnosti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2BCC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F19A47"/>
  <w15:docId w15:val="{043862EB-0217-4E03-9527-F521485E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A77FA9-1F5B-4B67-A279-E01C60481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2018-12-07T16:21:00Z</dcterms:created>
  <dcterms:modified xsi:type="dcterms:W3CDTF">2023-05-03T05:48:00Z</dcterms:modified>
</cp:coreProperties>
</file>