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12BB2F2"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" o:allowincell="f" fillcolor="white [3212]" stroked="f" strokeweight=".5pt">
                      <v:textbox>
                        <w:txbxContent>
                          <w:p w14:paraId="512BB2F2"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77777777" w:rsidR="00F862D6" w:rsidRPr="00F862D6" w:rsidRDefault="00F862D6" w:rsidP="00596C7E">
            <w:pPr>
              <w:rPr>
                <w:rStyle w:val="Potovnadresa"/>
              </w:rPr>
            </w:pPr>
          </w:p>
        </w:tc>
      </w:tr>
      <w:tr w:rsidR="00F862D6" w14:paraId="67710A0A" w14:textId="77777777" w:rsidTr="00F862D6">
        <w:tc>
          <w:tcPr>
            <w:tcW w:w="1020" w:type="dxa"/>
          </w:tcPr>
          <w:p w14:paraId="24C061C9" w14:textId="77777777" w:rsidR="00F862D6" w:rsidRPr="003E6B9A" w:rsidRDefault="00F862D6" w:rsidP="0077673A">
            <w:r w:rsidRPr="003E6B9A">
              <w:t>Naše zn.</w:t>
            </w:r>
          </w:p>
        </w:tc>
        <w:tc>
          <w:tcPr>
            <w:tcW w:w="2552" w:type="dxa"/>
          </w:tcPr>
          <w:p w14:paraId="03741EA3" w14:textId="108F9A19" w:rsidR="00F862D6" w:rsidRPr="003E6B9A" w:rsidRDefault="00FC224B" w:rsidP="0037111D">
            <w:r w:rsidRPr="00FC224B">
              <w:rPr>
                <w:rFonts w:ascii="Helvetica" w:hAnsi="Helvetica"/>
              </w:rPr>
              <w:t>4897/2023-SŽ-SSV-Ú3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Default="00C23946" w:rsidP="00C23946">
            <w:r>
              <w:t>Listů/příloh</w:t>
            </w:r>
          </w:p>
        </w:tc>
        <w:tc>
          <w:tcPr>
            <w:tcW w:w="2552" w:type="dxa"/>
          </w:tcPr>
          <w:p w14:paraId="33325CAE" w14:textId="6EC1264D" w:rsidR="00C23946" w:rsidRPr="003E6B9A" w:rsidRDefault="00C870BF" w:rsidP="00C23946">
            <w:r>
              <w:t>3</w:t>
            </w:r>
            <w:r w:rsidR="00C23946">
              <w:t>/</w:t>
            </w:r>
            <w:r>
              <w:t>2</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77777777" w:rsidR="00C23946" w:rsidRPr="003E6B9A" w:rsidRDefault="00C23946" w:rsidP="00C23946">
            <w:r w:rsidRPr="006F7BE2">
              <w:t>Ing. Radomíra Rečková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77777777" w:rsidR="00C23946" w:rsidRPr="003E6B9A" w:rsidRDefault="00C23946" w:rsidP="00C23946">
            <w:r>
              <w:t>+420 725 744 197</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77777777" w:rsidR="00C23946" w:rsidRPr="003E6B9A" w:rsidRDefault="006022AA" w:rsidP="00C23946">
            <w:hyperlink r:id="rId11" w:history="1">
              <w:r w:rsidR="00C23946" w:rsidRPr="002A2FFA">
                <w:rPr>
                  <w:rStyle w:val="Hypertextovodkaz"/>
                </w:rPr>
                <w:t>Reckova@spravazeleznic.cz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Default="00C23946" w:rsidP="00C23946">
            <w:r>
              <w:t>Datum</w:t>
            </w:r>
          </w:p>
        </w:tc>
        <w:tc>
          <w:tcPr>
            <w:tcW w:w="2552" w:type="dxa"/>
          </w:tcPr>
          <w:p w14:paraId="253C7E39" w14:textId="2946ED93" w:rsidR="00C23946" w:rsidRPr="003E6B9A" w:rsidRDefault="0028524B" w:rsidP="00C23946">
            <w:bookmarkStart w:id="0" w:name="Datum"/>
            <w:r>
              <w:t>9</w:t>
            </w:r>
            <w:r w:rsidR="00AB0437">
              <w:t>. května 2023</w:t>
            </w:r>
            <w:r w:rsidR="00C23946" w:rsidRPr="003E6B9A">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Default="00C23946" w:rsidP="00C23946"/>
        </w:tc>
        <w:tc>
          <w:tcPr>
            <w:tcW w:w="2552" w:type="dxa"/>
          </w:tcPr>
          <w:p w14:paraId="168F29E8" w14:textId="77777777" w:rsidR="00C23946" w:rsidRPr="00FE3455" w:rsidRDefault="00C23946" w:rsidP="00C23946">
            <w:pPr>
              <w:rPr>
                <w:highlight w:val="yellow"/>
              </w:rPr>
            </w:pPr>
          </w:p>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77777777"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C23946" w:rsidRPr="00C23946">
        <w:rPr>
          <w:rFonts w:eastAsia="Calibri" w:cs="Times New Roman"/>
          <w:b/>
          <w:lang w:eastAsia="cs-CZ"/>
        </w:rPr>
        <w:t>Lipník n. B. – Drahotuše, BC</w:t>
      </w:r>
    </w:p>
    <w:p w14:paraId="79B119CD" w14:textId="1661A152"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6873B1">
        <w:rPr>
          <w:rFonts w:eastAsia="Calibri" w:cs="Times New Roman"/>
          <w:lang w:eastAsia="cs-CZ"/>
        </w:rPr>
        <w:t>3</w:t>
      </w:r>
      <w:r w:rsidRPr="00CB7B5A">
        <w:rPr>
          <w:rFonts w:eastAsia="Calibri" w:cs="Times New Roman"/>
          <w:lang w:eastAsia="cs-CZ"/>
        </w:rPr>
        <w:t xml:space="preserve"> </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62B6203" w14:textId="77777777" w:rsidR="00BD5319" w:rsidRPr="00BD5319" w:rsidRDefault="00BD5319" w:rsidP="00BD5319">
      <w:pPr>
        <w:spacing w:after="0" w:line="240" w:lineRule="auto"/>
        <w:ind w:left="709"/>
        <w:rPr>
          <w:rFonts w:eastAsia="Calibri" w:cs="Times New Roman"/>
          <w:color w:val="FF0000"/>
          <w:lang w:eastAsia="cs-CZ"/>
        </w:rPr>
      </w:pPr>
    </w:p>
    <w:p w14:paraId="480A0F5D" w14:textId="711922D4"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51661B">
        <w:rPr>
          <w:rFonts w:eastAsia="Calibri" w:cs="Times New Roman"/>
          <w:b/>
          <w:lang w:eastAsia="cs-CZ"/>
        </w:rPr>
        <w:t>10</w:t>
      </w:r>
      <w:r w:rsidRPr="00BD5319">
        <w:rPr>
          <w:rFonts w:eastAsia="Calibri" w:cs="Times New Roman"/>
          <w:b/>
          <w:lang w:eastAsia="cs-CZ"/>
        </w:rPr>
        <w:t>:</w:t>
      </w:r>
    </w:p>
    <w:p w14:paraId="1223426B"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V rámci SO žel. spodku je uvažováno zajištění stávající provozované koleje během prováděné sanace pomocí záporového pažení. Záporové pažení je v SO a položce uvedeno svým objemem v T, včetně výpočtu objemu. V jakých úsecích je přesně tento objem uvažován?</w:t>
      </w:r>
    </w:p>
    <w:p w14:paraId="1A418839" w14:textId="642FA03D" w:rsidR="00BD5319" w:rsidRPr="000550A1" w:rsidRDefault="00BD5319"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6F68AC51" w14:textId="0B2762E2" w:rsidR="00E0785D" w:rsidRPr="00C870BF" w:rsidRDefault="00E0785D" w:rsidP="000550A1">
      <w:pPr>
        <w:spacing w:after="0" w:line="240" w:lineRule="auto"/>
        <w:jc w:val="both"/>
        <w:rPr>
          <w:rFonts w:asciiTheme="majorHAnsi" w:hAnsiTheme="majorHAnsi" w:cs="Segoe UI"/>
          <w:b/>
          <w:bCs/>
          <w:shd w:val="clear" w:color="auto" w:fill="FFFFFF"/>
        </w:rPr>
      </w:pPr>
      <w:r w:rsidRPr="00C870BF">
        <w:rPr>
          <w:rFonts w:asciiTheme="majorHAnsi" w:hAnsiTheme="majorHAnsi" w:cs="Segoe UI"/>
          <w:bCs/>
          <w:shd w:val="clear" w:color="auto" w:fill="FFFFFF"/>
        </w:rPr>
        <w:t>Rozsah úseků je dán návrhem nové konstrukce pražcového podloží. Pažení je navrženo průběžně, je přerušeno pouze v oblastech mostů, které mají navrženo své vlastní pažení. Uvažovány jsou 2 druhy pažení pro konstrukci pražcového podloží v zářezu a v náspu. Jednotlivé délky pažení jsou uvedeny v přílohách žel</w:t>
      </w:r>
      <w:r w:rsidR="000550A1" w:rsidRPr="00C870BF">
        <w:rPr>
          <w:rFonts w:asciiTheme="majorHAnsi" w:hAnsiTheme="majorHAnsi" w:cs="Segoe UI"/>
          <w:bCs/>
          <w:shd w:val="clear" w:color="auto" w:fill="FFFFFF"/>
        </w:rPr>
        <w:t>.</w:t>
      </w:r>
      <w:r w:rsidRPr="00C870BF">
        <w:rPr>
          <w:rFonts w:asciiTheme="majorHAnsi" w:hAnsiTheme="majorHAnsi" w:cs="Segoe UI"/>
          <w:bCs/>
          <w:shd w:val="clear" w:color="auto" w:fill="FFFFFF"/>
        </w:rPr>
        <w:t xml:space="preserve"> spodku č.12.1 </w:t>
      </w:r>
      <w:r w:rsidRPr="00C870BF">
        <w:rPr>
          <w:rFonts w:asciiTheme="majorHAnsi" w:hAnsiTheme="majorHAnsi" w:cs="Segoe UI"/>
          <w:b/>
          <w:bCs/>
          <w:shd w:val="clear" w:color="auto" w:fill="FFFFFF"/>
        </w:rPr>
        <w:t>Výkaz výměr (kubatury, tabulky pro výpočet množství) - železniční spodek</w:t>
      </w:r>
      <w:r w:rsidR="000550A1" w:rsidRPr="00C870BF">
        <w:rPr>
          <w:rFonts w:asciiTheme="majorHAnsi" w:hAnsiTheme="majorHAnsi" w:cs="Segoe UI"/>
          <w:b/>
          <w:bCs/>
          <w:shd w:val="clear" w:color="auto" w:fill="FFFFFF"/>
        </w:rPr>
        <w:t>.</w:t>
      </w:r>
    </w:p>
    <w:p w14:paraId="137BA0FA" w14:textId="77777777" w:rsidR="00BD5319" w:rsidRPr="000550A1" w:rsidRDefault="00BD5319" w:rsidP="000550A1">
      <w:pPr>
        <w:spacing w:after="0" w:line="240" w:lineRule="auto"/>
        <w:jc w:val="both"/>
        <w:rPr>
          <w:rFonts w:asciiTheme="majorHAnsi" w:eastAsia="Times New Roman" w:hAnsiTheme="majorHAnsi" w:cs="Times New Roman"/>
          <w:b/>
          <w:color w:val="FF0000"/>
          <w:lang w:eastAsia="cs-CZ"/>
        </w:rPr>
      </w:pPr>
    </w:p>
    <w:p w14:paraId="4068625E" w14:textId="67F9EB63"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11</w:t>
      </w:r>
      <w:r w:rsidRPr="000550A1">
        <w:rPr>
          <w:rFonts w:asciiTheme="majorHAnsi" w:eastAsia="Calibri" w:hAnsiTheme="majorHAnsi" w:cs="Times New Roman"/>
          <w:b/>
          <w:lang w:eastAsia="cs-CZ"/>
        </w:rPr>
        <w:t>:</w:t>
      </w:r>
    </w:p>
    <w:p w14:paraId="325D31D8"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 xml:space="preserve">Dokumentace část F.ZOV, dále pak HMG uvádí pro </w:t>
      </w:r>
      <w:r w:rsidRPr="000550A1">
        <w:rPr>
          <w:rFonts w:asciiTheme="majorHAnsi" w:hAnsiTheme="majorHAnsi" w:cs="Tahoma"/>
          <w:b/>
          <w:bCs/>
          <w:color w:val="000000"/>
          <w:shd w:val="clear" w:color="auto" w:fill="FFFFFF"/>
        </w:rPr>
        <w:t>Stavební postup č. SP, odstranění prov. Odb. Jezernice A</w:t>
      </w:r>
      <w:r w:rsidRPr="000550A1">
        <w:rPr>
          <w:rFonts w:asciiTheme="majorHAnsi" w:hAnsiTheme="majorHAnsi" w:cs="Tahoma"/>
          <w:color w:val="000000"/>
          <w:shd w:val="clear" w:color="auto" w:fill="FFFFFF"/>
        </w:rPr>
        <w:t xml:space="preserve"> výluky 18N pro TK1 a 17N pro TK2, celkově </w:t>
      </w:r>
      <w:r w:rsidRPr="000550A1">
        <w:rPr>
          <w:rFonts w:asciiTheme="majorHAnsi" w:hAnsiTheme="majorHAnsi" w:cs="Tahoma"/>
          <w:b/>
          <w:bCs/>
          <w:color w:val="000000"/>
          <w:shd w:val="clear" w:color="auto" w:fill="FFFFFF"/>
        </w:rPr>
        <w:t>35N</w:t>
      </w:r>
      <w:r w:rsidRPr="000550A1">
        <w:rPr>
          <w:rFonts w:asciiTheme="majorHAnsi" w:hAnsiTheme="majorHAnsi" w:cs="Tahoma"/>
          <w:color w:val="000000"/>
          <w:shd w:val="clear" w:color="auto" w:fill="FFFFFF"/>
        </w:rPr>
        <w:t>. S ohledem na místo, navržený rozsah a technologii prací se zhotoviteli tento časový objem jeví jako nereálný. Je možné tento rozsah změnit?</w:t>
      </w:r>
    </w:p>
    <w:p w14:paraId="3212741D" w14:textId="5D2A1464"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0271521E" w14:textId="6FD9D3DB" w:rsidR="00DC27A6" w:rsidRPr="00C870BF" w:rsidRDefault="00DF578E"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Zadavatel považ</w:t>
      </w:r>
      <w:r w:rsidR="005C737A" w:rsidRPr="00C870BF">
        <w:rPr>
          <w:rFonts w:asciiTheme="majorHAnsi" w:hAnsiTheme="majorHAnsi" w:cs="Segoe UI"/>
          <w:bCs/>
          <w:shd w:val="clear" w:color="auto" w:fill="FFFFFF"/>
        </w:rPr>
        <w:t>uje</w:t>
      </w:r>
      <w:r w:rsidR="00DC27A6" w:rsidRPr="00C870BF">
        <w:rPr>
          <w:rFonts w:asciiTheme="majorHAnsi" w:hAnsiTheme="majorHAnsi" w:cs="Segoe UI"/>
          <w:bCs/>
          <w:shd w:val="clear" w:color="auto" w:fill="FFFFFF"/>
        </w:rPr>
        <w:t xml:space="preserve"> předmětný rozsah prací v navržených výlukách za proveditelný</w:t>
      </w:r>
      <w:r w:rsidR="005C737A" w:rsidRPr="00C870BF">
        <w:rPr>
          <w:rFonts w:asciiTheme="majorHAnsi" w:hAnsiTheme="majorHAnsi" w:cs="Segoe UI"/>
          <w:bCs/>
          <w:shd w:val="clear" w:color="auto" w:fill="FFFFFF"/>
        </w:rPr>
        <w:t>.</w:t>
      </w:r>
      <w:r w:rsidR="00DC27A6" w:rsidRPr="00C870BF">
        <w:rPr>
          <w:rFonts w:asciiTheme="majorHAnsi" w:hAnsiTheme="majorHAnsi" w:cs="Segoe UI"/>
          <w:bCs/>
          <w:shd w:val="clear" w:color="auto" w:fill="FFFFFF"/>
        </w:rPr>
        <w:t xml:space="preserve"> </w:t>
      </w:r>
      <w:r w:rsidR="00367577" w:rsidRPr="00C870BF">
        <w:rPr>
          <w:rFonts w:asciiTheme="majorHAnsi" w:hAnsiTheme="majorHAnsi" w:cs="Segoe UI"/>
          <w:bCs/>
          <w:shd w:val="clear" w:color="auto" w:fill="FFFFFF"/>
        </w:rPr>
        <w:t>Vzhledem k charakteru trati a jejího zatížení železn</w:t>
      </w:r>
      <w:r w:rsidR="005868F6" w:rsidRPr="00C870BF">
        <w:rPr>
          <w:rFonts w:asciiTheme="majorHAnsi" w:hAnsiTheme="majorHAnsi" w:cs="Segoe UI"/>
          <w:bCs/>
          <w:shd w:val="clear" w:color="auto" w:fill="FFFFFF"/>
        </w:rPr>
        <w:t>ičn</w:t>
      </w:r>
      <w:r w:rsidR="00367577" w:rsidRPr="00C870BF">
        <w:rPr>
          <w:rFonts w:asciiTheme="majorHAnsi" w:hAnsiTheme="majorHAnsi" w:cs="Segoe UI"/>
          <w:bCs/>
          <w:shd w:val="clear" w:color="auto" w:fill="FFFFFF"/>
        </w:rPr>
        <w:t xml:space="preserve">í dopravou je nutné využít přidělené výluky </w:t>
      </w:r>
      <w:r w:rsidR="000550A1" w:rsidRPr="00C870BF">
        <w:rPr>
          <w:rFonts w:asciiTheme="majorHAnsi" w:hAnsiTheme="majorHAnsi" w:cs="Segoe UI"/>
          <w:bCs/>
          <w:shd w:val="clear" w:color="auto" w:fill="FFFFFF"/>
        </w:rPr>
        <w:br/>
      </w:r>
      <w:r w:rsidR="00367577" w:rsidRPr="00C870BF">
        <w:rPr>
          <w:rFonts w:asciiTheme="majorHAnsi" w:hAnsiTheme="majorHAnsi" w:cs="Segoe UI"/>
          <w:bCs/>
          <w:shd w:val="clear" w:color="auto" w:fill="FFFFFF"/>
        </w:rPr>
        <w:t>na maximum.</w:t>
      </w:r>
    </w:p>
    <w:p w14:paraId="4505F0DF" w14:textId="5C5E9425" w:rsidR="00BC703D" w:rsidRPr="000550A1" w:rsidRDefault="00BC703D" w:rsidP="000550A1">
      <w:pPr>
        <w:spacing w:after="0" w:line="240" w:lineRule="auto"/>
        <w:jc w:val="both"/>
        <w:rPr>
          <w:rFonts w:asciiTheme="majorHAnsi" w:eastAsia="Calibri" w:hAnsiTheme="majorHAnsi" w:cs="Times New Roman"/>
          <w:color w:val="FF0000"/>
          <w:lang w:eastAsia="cs-CZ"/>
        </w:rPr>
      </w:pPr>
    </w:p>
    <w:p w14:paraId="4B1EE951" w14:textId="1AB73453"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12</w:t>
      </w:r>
      <w:r w:rsidRPr="000550A1">
        <w:rPr>
          <w:rFonts w:asciiTheme="majorHAnsi" w:eastAsia="Calibri" w:hAnsiTheme="majorHAnsi" w:cs="Times New Roman"/>
          <w:b/>
          <w:lang w:eastAsia="cs-CZ"/>
        </w:rPr>
        <w:t>:</w:t>
      </w:r>
    </w:p>
    <w:p w14:paraId="7AEF3907"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65-19-51 Lipník nad Bečvou - Drahotuše, návěstní krakorec v km 203,230</w:t>
      </w:r>
    </w:p>
    <w:p w14:paraId="1022740F"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 xml:space="preserve">V zadávací dokumentaci, oddíle D.2.1.04 není obsažena výkresová dokumentace SO </w:t>
      </w:r>
    </w:p>
    <w:p w14:paraId="4E646C78" w14:textId="31F7F298"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4FF3CF2C" w14:textId="5BD53948" w:rsidR="00BC703D" w:rsidRPr="00C870BF" w:rsidRDefault="00DC27A6"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Objekt byl ze stavby vyřazen v důsledku zohlednění výhradního provozu ETCS</w:t>
      </w:r>
      <w:r w:rsidR="00602D17" w:rsidRPr="00C870BF">
        <w:rPr>
          <w:rFonts w:asciiTheme="majorHAnsi" w:hAnsiTheme="majorHAnsi" w:cs="Segoe UI"/>
          <w:bCs/>
          <w:shd w:val="clear" w:color="auto" w:fill="FFFFFF"/>
        </w:rPr>
        <w:t>. Objekt byl ze soupisu prací vyřazen.</w:t>
      </w:r>
      <w:r w:rsidR="00E86C7E" w:rsidRPr="00C870BF">
        <w:rPr>
          <w:rFonts w:asciiTheme="majorHAnsi" w:hAnsiTheme="majorHAnsi" w:cs="Segoe UI"/>
          <w:bCs/>
          <w:shd w:val="clear" w:color="auto" w:fill="FFFFFF"/>
        </w:rPr>
        <w:t xml:space="preserve"> Viz odpověď na dotaz č. 3.</w:t>
      </w:r>
    </w:p>
    <w:p w14:paraId="790E4906" w14:textId="77777777" w:rsidR="00BC703D" w:rsidRPr="00C870BF" w:rsidRDefault="00BC703D" w:rsidP="000550A1">
      <w:pPr>
        <w:spacing w:after="0" w:line="240" w:lineRule="auto"/>
        <w:jc w:val="both"/>
        <w:rPr>
          <w:rFonts w:asciiTheme="majorHAnsi" w:eastAsia="Calibri" w:hAnsiTheme="majorHAnsi" w:cs="Times New Roman"/>
          <w:lang w:eastAsia="cs-CZ"/>
        </w:rPr>
      </w:pPr>
    </w:p>
    <w:p w14:paraId="5DBBA320" w14:textId="59012378"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13</w:t>
      </w:r>
      <w:r w:rsidRPr="000550A1">
        <w:rPr>
          <w:rFonts w:asciiTheme="majorHAnsi" w:eastAsia="Calibri" w:hAnsiTheme="majorHAnsi" w:cs="Times New Roman"/>
          <w:b/>
          <w:lang w:eastAsia="cs-CZ"/>
        </w:rPr>
        <w:t>:</w:t>
      </w:r>
    </w:p>
    <w:p w14:paraId="52A11D33"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65-15-01 Lipník nad Bečvou - Drahotuše, PHS v km 204,402 – 205,351 vpravo</w:t>
      </w:r>
    </w:p>
    <w:p w14:paraId="09EA1C6D"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65-15-02 Lipník nad Bečvou - Drahotuše, PHS v km 204,598 – 205,152 vlevo</w:t>
      </w:r>
    </w:p>
    <w:p w14:paraId="75512E7A" w14:textId="5BB76DEC"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 xml:space="preserve">Tyto SO popisují v TZ vlastnosti a možnou variantu k použití panelů z materiálu: hliníkové panely s pohltivou výplní z minerální vaty. Položka již ve svém popisu materiál ovšem určuje jako </w:t>
      </w:r>
      <w:r w:rsidRPr="000550A1">
        <w:rPr>
          <w:rFonts w:asciiTheme="majorHAnsi" w:hAnsiTheme="majorHAnsi" w:cs="Tahoma"/>
          <w:b/>
          <w:bCs/>
          <w:color w:val="000000"/>
          <w:shd w:val="clear" w:color="auto" w:fill="FFFFFF"/>
        </w:rPr>
        <w:t>panel hliníkový s pohltivou vrstvou z minerální vaty.</w:t>
      </w:r>
      <w:r w:rsidRPr="000550A1">
        <w:rPr>
          <w:rFonts w:asciiTheme="majorHAnsi" w:hAnsiTheme="majorHAnsi" w:cs="Tahoma"/>
          <w:color w:val="000000"/>
          <w:shd w:val="clear" w:color="auto" w:fill="FFFFFF"/>
        </w:rPr>
        <w:t xml:space="preserve"> Lze řešit variantu panelů obdobnou, splňující požadované vlastnosti projektem nebo je druh a materiál výplňového panelu striktně požadován a určen popisem položky?</w:t>
      </w:r>
    </w:p>
    <w:p w14:paraId="507DDB8D" w14:textId="373C8E0F"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72E4E84A" w14:textId="5AE653B7" w:rsidR="00DC27A6" w:rsidRPr="00C870BF" w:rsidRDefault="00DC27A6"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 xml:space="preserve">Druh, materiál a barevné řešení </w:t>
      </w:r>
      <w:r w:rsidR="00400B79" w:rsidRPr="00C870BF">
        <w:rPr>
          <w:rFonts w:asciiTheme="majorHAnsi" w:hAnsiTheme="majorHAnsi" w:cs="Segoe UI"/>
          <w:bCs/>
          <w:shd w:val="clear" w:color="auto" w:fill="FFFFFF"/>
        </w:rPr>
        <w:t xml:space="preserve">protihlukové stěny (dále jen </w:t>
      </w:r>
      <w:r w:rsidRPr="00C870BF">
        <w:rPr>
          <w:rFonts w:asciiTheme="majorHAnsi" w:hAnsiTheme="majorHAnsi" w:cs="Segoe UI"/>
          <w:bCs/>
          <w:shd w:val="clear" w:color="auto" w:fill="FFFFFF"/>
        </w:rPr>
        <w:t>PHS</w:t>
      </w:r>
      <w:r w:rsidR="00400B79" w:rsidRPr="00C870BF">
        <w:rPr>
          <w:rFonts w:asciiTheme="majorHAnsi" w:hAnsiTheme="majorHAnsi" w:cs="Segoe UI"/>
          <w:bCs/>
          <w:shd w:val="clear" w:color="auto" w:fill="FFFFFF"/>
        </w:rPr>
        <w:t>)</w:t>
      </w:r>
      <w:r w:rsidRPr="00C870BF">
        <w:rPr>
          <w:rFonts w:asciiTheme="majorHAnsi" w:hAnsiTheme="majorHAnsi" w:cs="Segoe UI"/>
          <w:bCs/>
          <w:shd w:val="clear" w:color="auto" w:fill="FFFFFF"/>
        </w:rPr>
        <w:t xml:space="preserve"> byl projednán a odsouhlasen architektem Města Hranice a zástupcem místní části Slavíč. V případě změny konstrukce PHS je nutno provést odsouhlasení s výše uvedenými zástupci města Hranice a staticky posoudit PHS, </w:t>
      </w:r>
      <w:r w:rsidRPr="00C870BF">
        <w:rPr>
          <w:rFonts w:asciiTheme="majorHAnsi" w:hAnsiTheme="majorHAnsi" w:cs="Segoe UI"/>
          <w:bCs/>
          <w:shd w:val="clear" w:color="auto" w:fill="FFFFFF"/>
        </w:rPr>
        <w:lastRenderedPageBreak/>
        <w:t>včetně dopadů na související mostní objekty. Navržená lehká konstrukce PHS je nejvhodnější pro konkrétní místo jejího umístění.</w:t>
      </w:r>
    </w:p>
    <w:p w14:paraId="01B8F4CC" w14:textId="29686028" w:rsidR="00BC703D" w:rsidRPr="000550A1" w:rsidRDefault="00BC703D" w:rsidP="000550A1">
      <w:pPr>
        <w:spacing w:after="0" w:line="240" w:lineRule="auto"/>
        <w:jc w:val="both"/>
        <w:rPr>
          <w:rFonts w:asciiTheme="majorHAnsi" w:eastAsia="Calibri" w:hAnsiTheme="majorHAnsi" w:cs="Times New Roman"/>
          <w:color w:val="FF0000"/>
          <w:lang w:eastAsia="cs-CZ"/>
        </w:rPr>
      </w:pPr>
    </w:p>
    <w:p w14:paraId="44265D8B" w14:textId="1290DF1F"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14</w:t>
      </w:r>
      <w:r w:rsidRPr="000550A1">
        <w:rPr>
          <w:rFonts w:asciiTheme="majorHAnsi" w:eastAsia="Calibri" w:hAnsiTheme="majorHAnsi" w:cs="Times New Roman"/>
          <w:b/>
          <w:lang w:eastAsia="cs-CZ"/>
        </w:rPr>
        <w:t>:</w:t>
      </w:r>
    </w:p>
    <w:p w14:paraId="76D4EF24"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65-19-05 Lipník nad Bečvou - Drahotuše, propustek v ev. km 203,000</w:t>
      </w:r>
    </w:p>
    <w:p w14:paraId="696E43AB"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Výkres č.2.6.1 Zajištění lože ZKPP popisuje zajištění ŠL pro umožnění provozu po mostě během sanace. Jeden ze způsobů zajištění je popsán a vypočítán v objemu 172 M3: zpevnění lože, prolití pryskyřicí. Kde je tato práce/položka uvedena, případně uvažována?</w:t>
      </w:r>
    </w:p>
    <w:p w14:paraId="2CB2DE45" w14:textId="1C725687"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0809FEAC" w14:textId="77318782" w:rsidR="00BC703D" w:rsidRPr="00C870BF" w:rsidRDefault="00DC27A6"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Práce uvedené ve výkresu 2.6.1 byly doplněny do soupisu prací.</w:t>
      </w:r>
    </w:p>
    <w:p w14:paraId="6BDE1976" w14:textId="49316A2F"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Do soupisu prací byly doplněny položky:</w:t>
      </w:r>
    </w:p>
    <w:p w14:paraId="4283C724"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č.36 22695 VÝDŘEVA ZÁPOROVÉHO PAŽENÍ DOČASNÁ (KUBATURA) 1,9 M3</w:t>
      </w:r>
    </w:p>
    <w:p w14:paraId="547B92E8"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č.37 22694 ZÁPOROVÉ PAŽENÍ Z KOVU DOČASNÉ 2,38 T</w:t>
      </w:r>
    </w:p>
    <w:p w14:paraId="23BFBE87"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č.35 515000 KOLEJOVÉ LOŽE - ZPEVNĚNÍ PRYSKYŘICÍ 172 M3</w:t>
      </w:r>
    </w:p>
    <w:p w14:paraId="62623026" w14:textId="77777777" w:rsidR="00602D17" w:rsidRPr="000550A1" w:rsidRDefault="00602D17" w:rsidP="000550A1">
      <w:pPr>
        <w:spacing w:after="0" w:line="240" w:lineRule="auto"/>
        <w:jc w:val="both"/>
        <w:rPr>
          <w:rFonts w:asciiTheme="majorHAnsi" w:eastAsia="Calibri" w:hAnsiTheme="majorHAnsi" w:cs="Times New Roman"/>
          <w:i/>
          <w:color w:val="FF0000"/>
          <w:lang w:eastAsia="cs-CZ"/>
        </w:rPr>
      </w:pPr>
    </w:p>
    <w:p w14:paraId="72B1584B" w14:textId="261A045C"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15</w:t>
      </w:r>
      <w:r w:rsidRPr="000550A1">
        <w:rPr>
          <w:rFonts w:asciiTheme="majorHAnsi" w:eastAsia="Calibri" w:hAnsiTheme="majorHAnsi" w:cs="Times New Roman"/>
          <w:b/>
          <w:lang w:eastAsia="cs-CZ"/>
        </w:rPr>
        <w:t>:</w:t>
      </w:r>
    </w:p>
    <w:p w14:paraId="0F9FCB8B"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98-98 Všeobecný objekt</w:t>
      </w:r>
    </w:p>
    <w:p w14:paraId="5B5B0452" w14:textId="431C2DB2"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Pol. 12 Obsluha výhybek během realizace. SO 65-06-07 řeší přípojku ZZ odb. Jezernice B, provizorní napájení pro PS 65-28-01B, zde je popsána tzv. provizorní dopravní kancelář. Je touto položkou míněna obsluha dopr. kanceláře nebo bude obsluha zajištěna ze strany dopravního zaměstnance personálem SŽ, tedy objednatelem? Pokud ano, jaký skutečný výkon je uvažován pro pol. č.12? 1 KPL je bez bližšího popisu pro kategorii této dráhy velmi obecný.</w:t>
      </w:r>
    </w:p>
    <w:p w14:paraId="2B36BC4F" w14:textId="3F1D1FD5"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19E0C652" w14:textId="56DB1229" w:rsidR="00BC703D" w:rsidRPr="00C870BF" w:rsidRDefault="00DC27A6"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Obsluhu DK zajišťuje zhotovitel. Rozsah personálního obs</w:t>
      </w:r>
      <w:r w:rsidR="000550A1" w:rsidRPr="00C870BF">
        <w:rPr>
          <w:rFonts w:asciiTheme="majorHAnsi" w:hAnsiTheme="majorHAnsi" w:cs="Segoe UI"/>
          <w:bCs/>
          <w:shd w:val="clear" w:color="auto" w:fill="FFFFFF"/>
        </w:rPr>
        <w:t>azení výhybek viz</w:t>
      </w:r>
      <w:r w:rsidRPr="00C870BF">
        <w:rPr>
          <w:rFonts w:asciiTheme="majorHAnsi" w:hAnsiTheme="majorHAnsi" w:cs="Segoe UI"/>
          <w:bCs/>
          <w:shd w:val="clear" w:color="auto" w:fill="FFFFFF"/>
        </w:rPr>
        <w:t xml:space="preserve"> PD část B.2.1 – Technická zpráva, bod 2.2.2 Harmonogram výluk.</w:t>
      </w:r>
    </w:p>
    <w:p w14:paraId="639E0A13" w14:textId="77777777" w:rsidR="00BC703D" w:rsidRPr="00C870BF" w:rsidRDefault="00BC703D" w:rsidP="000550A1">
      <w:pPr>
        <w:spacing w:after="0" w:line="240" w:lineRule="auto"/>
        <w:jc w:val="both"/>
        <w:rPr>
          <w:rFonts w:asciiTheme="majorHAnsi" w:eastAsia="Calibri" w:hAnsiTheme="majorHAnsi" w:cs="Times New Roman"/>
          <w:lang w:eastAsia="cs-CZ"/>
        </w:rPr>
      </w:pPr>
    </w:p>
    <w:p w14:paraId="3095C07D" w14:textId="5C0281BD"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Dotaz č. </w:t>
      </w:r>
      <w:r w:rsidR="0051661B" w:rsidRPr="000550A1">
        <w:rPr>
          <w:rFonts w:asciiTheme="majorHAnsi" w:eastAsia="Calibri" w:hAnsiTheme="majorHAnsi" w:cs="Times New Roman"/>
          <w:b/>
          <w:lang w:eastAsia="cs-CZ"/>
        </w:rPr>
        <w:t>16</w:t>
      </w:r>
      <w:r w:rsidRPr="000550A1">
        <w:rPr>
          <w:rFonts w:asciiTheme="majorHAnsi" w:eastAsia="Calibri" w:hAnsiTheme="majorHAnsi" w:cs="Times New Roman"/>
          <w:b/>
          <w:lang w:eastAsia="cs-CZ"/>
        </w:rPr>
        <w:t>:</w:t>
      </w:r>
    </w:p>
    <w:p w14:paraId="605862C5"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65-16-02 Odbočka Jezernice, žel. spodek</w:t>
      </w:r>
    </w:p>
    <w:p w14:paraId="762ECB7F"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Pol.22. V TZ a VV jsou uvedeny rozměry svahové tvárnice 500x450x180 ve vzorovém řezu 202,539 je uvedeno 580x570x250. Prosíme o sjednocení.</w:t>
      </w:r>
    </w:p>
    <w:p w14:paraId="17F34197" w14:textId="031C77DB" w:rsidR="00BC703D" w:rsidRPr="000550A1" w:rsidRDefault="00BC703D"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2D84EB21" w14:textId="5261DC01" w:rsidR="00DC27A6" w:rsidRPr="00C870BF" w:rsidRDefault="00DC27A6" w:rsidP="000550A1">
      <w:pPr>
        <w:spacing w:after="0" w:line="240" w:lineRule="auto"/>
        <w:jc w:val="both"/>
        <w:rPr>
          <w:rFonts w:asciiTheme="majorHAnsi" w:hAnsiTheme="majorHAnsi" w:cs="Segoe UI"/>
          <w:bCs/>
          <w:shd w:val="clear" w:color="auto" w:fill="FFFFFF"/>
        </w:rPr>
      </w:pPr>
      <w:r w:rsidRPr="00C870BF">
        <w:rPr>
          <w:rFonts w:asciiTheme="majorHAnsi" w:hAnsiTheme="majorHAnsi" w:cs="Segoe UI"/>
          <w:bCs/>
          <w:shd w:val="clear" w:color="auto" w:fill="FFFFFF"/>
        </w:rPr>
        <w:t>Jedná se o chybný popis ve vzorovém příčném řezu, navrženy jsou tvárnice 500x450x180.</w:t>
      </w:r>
      <w:r w:rsidR="00602D17" w:rsidRPr="00C870BF">
        <w:rPr>
          <w:rFonts w:asciiTheme="majorHAnsi" w:hAnsiTheme="majorHAnsi" w:cs="Segoe UI"/>
          <w:bCs/>
          <w:shd w:val="clear" w:color="auto" w:fill="FFFFFF"/>
        </w:rPr>
        <w:t xml:space="preserve"> </w:t>
      </w:r>
      <w:r w:rsidR="00E5703D">
        <w:rPr>
          <w:rFonts w:asciiTheme="majorHAnsi" w:hAnsiTheme="majorHAnsi" w:cs="Segoe UI"/>
          <w:bCs/>
          <w:shd w:val="clear" w:color="auto" w:fill="FFFFFF"/>
        </w:rPr>
        <w:t>Upřesnění n</w:t>
      </w:r>
      <w:bookmarkStart w:id="1" w:name="_GoBack"/>
      <w:bookmarkEnd w:id="1"/>
      <w:r w:rsidR="00602D17" w:rsidRPr="00C870BF">
        <w:rPr>
          <w:rFonts w:asciiTheme="majorHAnsi" w:hAnsiTheme="majorHAnsi" w:cs="Segoe UI"/>
          <w:bCs/>
          <w:shd w:val="clear" w:color="auto" w:fill="FFFFFF"/>
        </w:rPr>
        <w:t>emá vliv na soupis prací.</w:t>
      </w:r>
    </w:p>
    <w:p w14:paraId="374989A8" w14:textId="77777777" w:rsidR="0051661B" w:rsidRPr="00C870BF" w:rsidRDefault="0051661B" w:rsidP="000550A1">
      <w:pPr>
        <w:spacing w:after="0" w:line="240" w:lineRule="auto"/>
        <w:jc w:val="both"/>
        <w:rPr>
          <w:rFonts w:asciiTheme="majorHAnsi" w:eastAsia="Calibri" w:hAnsiTheme="majorHAnsi" w:cs="Times New Roman"/>
          <w:b/>
          <w:lang w:eastAsia="cs-CZ"/>
        </w:rPr>
      </w:pPr>
    </w:p>
    <w:p w14:paraId="1E7A2E2F" w14:textId="2ADE9010" w:rsidR="0051661B" w:rsidRPr="000550A1" w:rsidRDefault="0051661B"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Dotaz č. 17:</w:t>
      </w:r>
    </w:p>
    <w:p w14:paraId="3E0BAEBF"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65-16-01 Lipník n. B. – Jezernice, žel. spodek</w:t>
      </w:r>
    </w:p>
    <w:p w14:paraId="613BB61E"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Pol. 29 Kotvy ocelové – kotevní táhlo je uvedena na kusy. Množství je uvedeno na desetinná místa. Prosíme upravit na celé kusy dle skutečnosti.</w:t>
      </w:r>
    </w:p>
    <w:p w14:paraId="58317FAC" w14:textId="77777777" w:rsidR="0051661B" w:rsidRPr="000550A1" w:rsidRDefault="0051661B"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1F5980F6"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Množství zaokrouhlené na kusy bylo zohledněno v soupisu prací v pol.29 286553 KOTVY OCEL INJEKTOVANÉ V PODZEMÍ DÉLKY DO 7M ÚNOS DO 150KN. Nová výměra 1153 kusů.</w:t>
      </w:r>
    </w:p>
    <w:p w14:paraId="616A6403" w14:textId="469F563A" w:rsidR="00C23946" w:rsidRPr="00C870BF" w:rsidRDefault="00C23946" w:rsidP="000550A1">
      <w:pPr>
        <w:spacing w:after="0" w:line="240" w:lineRule="auto"/>
        <w:jc w:val="both"/>
        <w:rPr>
          <w:rFonts w:asciiTheme="majorHAnsi" w:eastAsia="Times New Roman" w:hAnsiTheme="majorHAnsi" w:cs="Times New Roman"/>
          <w:b/>
          <w:lang w:eastAsia="cs-CZ"/>
        </w:rPr>
      </w:pPr>
    </w:p>
    <w:p w14:paraId="6BC47545" w14:textId="2B0033DA" w:rsidR="0051661B" w:rsidRPr="00C870BF" w:rsidRDefault="0051661B" w:rsidP="000550A1">
      <w:pPr>
        <w:spacing w:after="0" w:line="240" w:lineRule="auto"/>
        <w:jc w:val="both"/>
        <w:rPr>
          <w:rFonts w:asciiTheme="majorHAnsi" w:eastAsia="Calibri" w:hAnsiTheme="majorHAnsi" w:cs="Times New Roman"/>
          <w:b/>
          <w:lang w:eastAsia="cs-CZ"/>
        </w:rPr>
      </w:pPr>
      <w:r w:rsidRPr="00C870BF">
        <w:rPr>
          <w:rFonts w:asciiTheme="majorHAnsi" w:eastAsia="Calibri" w:hAnsiTheme="majorHAnsi" w:cs="Times New Roman"/>
          <w:b/>
          <w:lang w:eastAsia="cs-CZ"/>
        </w:rPr>
        <w:t>Dotaz č. 18:</w:t>
      </w:r>
    </w:p>
    <w:p w14:paraId="5E57CD84"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65-16-02 Odbočka Jezernice, žel. spodek</w:t>
      </w:r>
    </w:p>
    <w:p w14:paraId="5AF5745C"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Pol. 21 Kotvy ocelové – kotevní táhlo je uvedena na kusy. Množství je uvedeno na desetinná místa. Prosíme upravit na celé kusy dle skutečnosti.</w:t>
      </w:r>
    </w:p>
    <w:p w14:paraId="57C152FE" w14:textId="4414545E" w:rsidR="0051661B" w:rsidRPr="000550A1" w:rsidRDefault="0051661B"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07D2A5F7"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Množství zaokrouhlené na kusy bylo zohledněno v soupisu prací v pol.21 286553 KOTVY OCEL INJEKTOVANÉ V PODZEMÍ DÉLKY DO 7M ÚNOS DO 150KN. Nová výměra 104 kusů.</w:t>
      </w:r>
    </w:p>
    <w:p w14:paraId="25C33D9F" w14:textId="1108AD8E" w:rsidR="0051661B" w:rsidRPr="00C870BF" w:rsidRDefault="0051661B" w:rsidP="000550A1">
      <w:pPr>
        <w:spacing w:after="0" w:line="240" w:lineRule="auto"/>
        <w:jc w:val="both"/>
        <w:rPr>
          <w:rFonts w:asciiTheme="majorHAnsi" w:eastAsia="Times New Roman" w:hAnsiTheme="majorHAnsi" w:cs="Times New Roman"/>
          <w:b/>
          <w:lang w:eastAsia="cs-CZ"/>
        </w:rPr>
      </w:pPr>
    </w:p>
    <w:p w14:paraId="561BF553" w14:textId="2D7098E8" w:rsidR="0051661B" w:rsidRPr="000550A1" w:rsidRDefault="0051661B"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Dotaz č. 19:</w:t>
      </w:r>
    </w:p>
    <w:p w14:paraId="5BB5E17B"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SO 65-16-03 Jezernice - Drahotuše, žel. spodek</w:t>
      </w:r>
    </w:p>
    <w:p w14:paraId="6B981F72" w14:textId="77777777" w:rsidR="0051661B" w:rsidRPr="000550A1" w:rsidRDefault="0051661B" w:rsidP="000550A1">
      <w:pPr>
        <w:spacing w:after="0" w:line="240" w:lineRule="auto"/>
        <w:jc w:val="both"/>
        <w:rPr>
          <w:rFonts w:asciiTheme="majorHAnsi" w:hAnsiTheme="majorHAnsi" w:cs="Tahoma"/>
          <w:color w:val="000000"/>
          <w:shd w:val="clear" w:color="auto" w:fill="FFFFFF"/>
        </w:rPr>
      </w:pPr>
      <w:r w:rsidRPr="000550A1">
        <w:rPr>
          <w:rFonts w:asciiTheme="majorHAnsi" w:hAnsiTheme="majorHAnsi" w:cs="Tahoma"/>
          <w:color w:val="000000"/>
          <w:shd w:val="clear" w:color="auto" w:fill="FFFFFF"/>
        </w:rPr>
        <w:t>Pol. 27 Kotvy ocelové – kotevní táhlo je uvedena na kusy. Množství je uvedeno na desetinná místa. Prosíme upravit na celé kusy dle skutečnosti.</w:t>
      </w:r>
    </w:p>
    <w:p w14:paraId="42A49A90" w14:textId="77777777" w:rsidR="0051661B" w:rsidRPr="000550A1" w:rsidRDefault="0051661B" w:rsidP="000550A1">
      <w:pPr>
        <w:spacing w:after="0" w:line="240" w:lineRule="auto"/>
        <w:jc w:val="both"/>
        <w:rPr>
          <w:rFonts w:asciiTheme="majorHAnsi" w:eastAsia="Calibri" w:hAnsiTheme="majorHAnsi" w:cs="Times New Roman"/>
          <w:b/>
          <w:lang w:eastAsia="cs-CZ"/>
        </w:rPr>
      </w:pPr>
      <w:r w:rsidRPr="000550A1">
        <w:rPr>
          <w:rFonts w:asciiTheme="majorHAnsi" w:eastAsia="Calibri" w:hAnsiTheme="majorHAnsi" w:cs="Times New Roman"/>
          <w:b/>
          <w:lang w:eastAsia="cs-CZ"/>
        </w:rPr>
        <w:t xml:space="preserve">Odpověď: </w:t>
      </w:r>
    </w:p>
    <w:p w14:paraId="1F7D36B2" w14:textId="77777777" w:rsidR="00602D17" w:rsidRPr="00C870BF" w:rsidRDefault="00602D17" w:rsidP="000550A1">
      <w:pPr>
        <w:spacing w:after="0" w:line="240" w:lineRule="auto"/>
        <w:jc w:val="both"/>
        <w:rPr>
          <w:rFonts w:asciiTheme="majorHAnsi" w:eastAsia="Calibri" w:hAnsiTheme="majorHAnsi" w:cs="Times New Roman"/>
          <w:lang w:eastAsia="cs-CZ"/>
        </w:rPr>
      </w:pPr>
      <w:r w:rsidRPr="00C870BF">
        <w:rPr>
          <w:rFonts w:asciiTheme="majorHAnsi" w:eastAsia="Calibri" w:hAnsiTheme="majorHAnsi" w:cs="Times New Roman"/>
          <w:lang w:eastAsia="cs-CZ"/>
        </w:rPr>
        <w:t>Množství zaokrouhlené na kusy bylo zohledněno v soupisu prací v pol.27 286553 KOTVY OCEL INJEKTOVANÉ V PODZEMÍ DÉLKY DO 7M ÚNOS DO 150KN. Nová výměra 1403 kusů.</w:t>
      </w:r>
    </w:p>
    <w:p w14:paraId="6C23AEF5" w14:textId="77777777" w:rsidR="0051661B" w:rsidRDefault="0051661B" w:rsidP="00BD5319">
      <w:pPr>
        <w:spacing w:after="0" w:line="240" w:lineRule="auto"/>
        <w:rPr>
          <w:rFonts w:eastAsia="Times New Roman" w:cs="Times New Roman"/>
          <w:b/>
          <w:color w:val="FF0000"/>
          <w:lang w:eastAsia="cs-CZ"/>
        </w:rPr>
      </w:pPr>
    </w:p>
    <w:p w14:paraId="498BA041" w14:textId="77777777" w:rsidR="00C23946" w:rsidRDefault="00C23946" w:rsidP="00BD5319">
      <w:pPr>
        <w:spacing w:after="0" w:line="240" w:lineRule="auto"/>
        <w:rPr>
          <w:rFonts w:eastAsia="Times New Roman" w:cs="Times New Roman"/>
          <w:b/>
          <w:color w:val="FF0000"/>
          <w:lang w:eastAsia="cs-CZ"/>
        </w:rPr>
      </w:pPr>
    </w:p>
    <w:p w14:paraId="7B5B39AF" w14:textId="77777777" w:rsidR="00BD5319" w:rsidRPr="00BD5319" w:rsidRDefault="00BD5319" w:rsidP="00BD5319">
      <w:pPr>
        <w:spacing w:after="0" w:line="240" w:lineRule="auto"/>
        <w:ind w:firstLine="567"/>
        <w:rPr>
          <w:rFonts w:eastAsia="Times New Roman" w:cs="Times New Roman"/>
          <w:lang w:eastAsia="cs-CZ"/>
        </w:rPr>
      </w:pPr>
    </w:p>
    <w:p w14:paraId="7706AD04" w14:textId="64B5EE0E" w:rsidR="0051661B" w:rsidRPr="00BD5319" w:rsidRDefault="0051661B" w:rsidP="0051661B">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16687D">
        <w:rPr>
          <w:rFonts w:eastAsia="Times New Roman" w:cs="Times New Roman"/>
          <w:lang w:eastAsia="cs-CZ"/>
        </w:rPr>
        <w:t xml:space="preserve">provedeny </w:t>
      </w:r>
      <w:r w:rsidRPr="0016687D">
        <w:rPr>
          <w:rFonts w:eastAsia="Times New Roman" w:cs="Times New Roman"/>
          <w:b/>
          <w:lang w:eastAsia="cs-CZ"/>
        </w:rPr>
        <w:t xml:space="preserve">změny/doplnění </w:t>
      </w:r>
      <w:r w:rsidRPr="00BD5319">
        <w:rPr>
          <w:rFonts w:eastAsia="Times New Roman" w:cs="Times New Roman"/>
          <w:b/>
          <w:lang w:eastAsia="cs-CZ"/>
        </w:rPr>
        <w:t>zadávací dokumentace</w:t>
      </w:r>
      <w:r w:rsidRPr="00BD5319">
        <w:rPr>
          <w:rFonts w:eastAsia="Times New Roman" w:cs="Times New Roman"/>
          <w:lang w:eastAsia="cs-CZ"/>
        </w:rPr>
        <w:t xml:space="preserve">, postupuje zadavatel v souladu s ust. § 99 odst. 2 ZZVZ a prodlužuje lhůtu pro podání nabídek ze dne </w:t>
      </w:r>
      <w:r>
        <w:rPr>
          <w:rFonts w:eastAsia="Times New Roman" w:cs="Times New Roman"/>
          <w:lang w:eastAsia="cs-CZ"/>
        </w:rPr>
        <w:t>23. 5. 2023</w:t>
      </w:r>
      <w:r w:rsidRPr="00BD5319">
        <w:rPr>
          <w:rFonts w:eastAsia="Times New Roman" w:cs="Times New Roman"/>
          <w:lang w:eastAsia="cs-CZ"/>
        </w:rPr>
        <w:t xml:space="preserve"> na den </w:t>
      </w:r>
      <w:r w:rsidR="006673F8">
        <w:rPr>
          <w:rFonts w:eastAsia="Times New Roman" w:cs="Times New Roman"/>
          <w:lang w:eastAsia="cs-CZ"/>
        </w:rPr>
        <w:t>24</w:t>
      </w:r>
      <w:r>
        <w:rPr>
          <w:rFonts w:eastAsia="Times New Roman" w:cs="Times New Roman"/>
          <w:lang w:eastAsia="cs-CZ"/>
        </w:rPr>
        <w:t>. 5. 2023</w:t>
      </w:r>
      <w:r w:rsidRPr="00BD5319">
        <w:rPr>
          <w:rFonts w:eastAsia="Times New Roman" w:cs="Times New Roman"/>
          <w:lang w:eastAsia="cs-CZ"/>
        </w:rPr>
        <w:t>.</w:t>
      </w:r>
    </w:p>
    <w:p w14:paraId="562867F1" w14:textId="77777777" w:rsidR="0051661B" w:rsidRPr="00BD5319" w:rsidRDefault="0051661B" w:rsidP="0051661B">
      <w:pPr>
        <w:spacing w:after="0" w:line="240" w:lineRule="auto"/>
        <w:rPr>
          <w:rFonts w:eastAsia="Times New Roman" w:cs="Times New Roman"/>
          <w:b/>
          <w:lang w:eastAsia="cs-CZ"/>
        </w:rPr>
      </w:pPr>
    </w:p>
    <w:p w14:paraId="67285B32" w14:textId="77777777" w:rsidR="0051661B" w:rsidRPr="00BD5319" w:rsidRDefault="0051661B" w:rsidP="0051661B">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w:t>
      </w:r>
      <w:r>
        <w:rPr>
          <w:rFonts w:eastAsia="Times New Roman" w:cs="Times New Roman"/>
          <w:lang w:eastAsia="cs-CZ"/>
        </w:rPr>
        <w:br/>
      </w:r>
      <w:r w:rsidRPr="00BD5319">
        <w:rPr>
          <w:rFonts w:eastAsia="Times New Roman" w:cs="Times New Roman"/>
          <w:lang w:eastAsia="cs-CZ"/>
        </w:rPr>
        <w:t xml:space="preserve">č. VZ </w:t>
      </w:r>
      <w:r w:rsidRPr="006A0E7E">
        <w:rPr>
          <w:rFonts w:eastAsia="Times New Roman" w:cs="Times New Roman"/>
          <w:lang w:eastAsia="cs-CZ"/>
        </w:rPr>
        <w:t>Z2023-015671</w:t>
      </w:r>
      <w:r w:rsidRPr="00BD5319">
        <w:rPr>
          <w:rFonts w:eastAsia="Times New Roman" w:cs="Times New Roman"/>
          <w:lang w:eastAsia="cs-CZ"/>
        </w:rPr>
        <w:t>). Změny se týkají těchto ustanovení:</w:t>
      </w:r>
    </w:p>
    <w:p w14:paraId="123F746B" w14:textId="77777777" w:rsidR="0051661B" w:rsidRPr="00BD5319" w:rsidRDefault="0051661B" w:rsidP="0051661B">
      <w:pPr>
        <w:spacing w:after="0" w:line="240" w:lineRule="auto"/>
        <w:rPr>
          <w:rFonts w:eastAsia="Times New Roman" w:cs="Times New Roman"/>
          <w:b/>
          <w:lang w:eastAsia="cs-CZ"/>
        </w:rPr>
      </w:pPr>
    </w:p>
    <w:p w14:paraId="2761EBE3" w14:textId="77777777" w:rsidR="0051661B" w:rsidRPr="00BD5319" w:rsidRDefault="0051661B" w:rsidP="0051661B">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72A33416" w14:textId="2410B642" w:rsidR="0051661B" w:rsidRPr="00BD5319" w:rsidRDefault="0051661B" w:rsidP="0051661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19. 5. 2023</w:t>
      </w:r>
      <w:r w:rsidRPr="00BD5319">
        <w:rPr>
          <w:rFonts w:eastAsia="Times New Roman" w:cs="Times New Roman"/>
          <w:lang w:eastAsia="cs-CZ"/>
        </w:rPr>
        <w:t xml:space="preserve"> v 10:00 hod. a nahrazujeme datem </w:t>
      </w:r>
      <w:r w:rsidR="006673F8">
        <w:rPr>
          <w:rFonts w:eastAsia="Times New Roman" w:cs="Times New Roman"/>
          <w:lang w:eastAsia="cs-CZ"/>
        </w:rPr>
        <w:t>24</w:t>
      </w:r>
      <w:r>
        <w:rPr>
          <w:rFonts w:eastAsia="Times New Roman" w:cs="Times New Roman"/>
          <w:lang w:eastAsia="cs-CZ"/>
        </w:rPr>
        <w:t>. 5. 2023</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14:paraId="7A121AE9" w14:textId="77777777" w:rsidR="0051661B" w:rsidRPr="00BD5319" w:rsidRDefault="0051661B" w:rsidP="0051661B">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239F64A4" w14:textId="12F15F37" w:rsidR="0051661B" w:rsidRPr="00BD5319" w:rsidRDefault="0051661B" w:rsidP="0051661B">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Pr>
          <w:rFonts w:eastAsia="Times New Roman" w:cs="Times New Roman"/>
          <w:lang w:eastAsia="cs-CZ"/>
        </w:rPr>
        <w:t>19. 5. 2023</w:t>
      </w:r>
      <w:r w:rsidRPr="00BD5319">
        <w:rPr>
          <w:rFonts w:eastAsia="Times New Roman" w:cs="Times New Roman"/>
          <w:lang w:eastAsia="cs-CZ"/>
        </w:rPr>
        <w:t xml:space="preserve"> </w:t>
      </w:r>
      <w:r>
        <w:rPr>
          <w:rFonts w:eastAsia="Times New Roman" w:cs="Times New Roman"/>
          <w:lang w:eastAsia="cs-CZ"/>
        </w:rPr>
        <w:t>v 10:00</w:t>
      </w:r>
      <w:r w:rsidRPr="00BD5319">
        <w:rPr>
          <w:rFonts w:eastAsia="Times New Roman" w:cs="Times New Roman"/>
          <w:lang w:eastAsia="cs-CZ"/>
        </w:rPr>
        <w:t xml:space="preserve"> hod. a nahrazujeme datem </w:t>
      </w:r>
      <w:r w:rsidR="006673F8">
        <w:rPr>
          <w:rFonts w:eastAsia="Times New Roman" w:cs="Times New Roman"/>
          <w:lang w:eastAsia="cs-CZ"/>
        </w:rPr>
        <w:t>24</w:t>
      </w:r>
      <w:r>
        <w:rPr>
          <w:rFonts w:eastAsia="Times New Roman" w:cs="Times New Roman"/>
          <w:lang w:eastAsia="cs-CZ"/>
        </w:rPr>
        <w:t>. 5. 2023</w:t>
      </w:r>
      <w:r w:rsidRPr="00BD5319">
        <w:rPr>
          <w:rFonts w:eastAsia="Times New Roman" w:cs="Times New Roman"/>
          <w:lang w:eastAsia="cs-CZ"/>
        </w:rPr>
        <w:t xml:space="preserve"> </w:t>
      </w:r>
      <w:r>
        <w:rPr>
          <w:rFonts w:eastAsia="Times New Roman" w:cs="Times New Roman"/>
          <w:lang w:eastAsia="cs-CZ"/>
        </w:rPr>
        <w:t>v 10:00</w:t>
      </w:r>
      <w:r w:rsidRPr="00BD5319">
        <w:rPr>
          <w:rFonts w:eastAsia="Times New Roman" w:cs="Times New Roman"/>
          <w:lang w:eastAsia="cs-CZ"/>
        </w:rPr>
        <w:t xml:space="preserve"> hod.</w:t>
      </w:r>
    </w:p>
    <w:p w14:paraId="34E4B521" w14:textId="77777777" w:rsidR="0051661B" w:rsidRPr="00BD5319" w:rsidRDefault="0051661B" w:rsidP="0051661B">
      <w:pPr>
        <w:spacing w:after="0" w:line="240" w:lineRule="auto"/>
        <w:rPr>
          <w:rFonts w:eastAsia="Times New Roman" w:cs="Times New Roman"/>
          <w:lang w:eastAsia="cs-CZ"/>
        </w:rPr>
      </w:pPr>
    </w:p>
    <w:p w14:paraId="45058CC1" w14:textId="77777777" w:rsidR="0051661B" w:rsidRPr="00BD5319" w:rsidRDefault="0051661B" w:rsidP="0051661B">
      <w:pPr>
        <w:tabs>
          <w:tab w:val="left" w:pos="993"/>
          <w:tab w:val="center" w:pos="7371"/>
        </w:tabs>
        <w:spacing w:after="0" w:line="240" w:lineRule="auto"/>
        <w:jc w:val="both"/>
        <w:rPr>
          <w:rFonts w:eastAsia="Calibri" w:cs="Times New Roman"/>
          <w:lang w:eastAsia="cs-CZ"/>
        </w:rPr>
      </w:pPr>
      <w:r>
        <w:rPr>
          <w:rFonts w:eastAsia="Calibri" w:cs="Times New Roman"/>
          <w:lang w:eastAsia="cs-CZ"/>
        </w:rPr>
        <w:br/>
      </w:r>
      <w:r w:rsidRPr="00B46089">
        <w:rPr>
          <w:rFonts w:eastAsia="Calibri" w:cs="Times New Roman"/>
          <w:lang w:eastAsia="cs-CZ"/>
        </w:rPr>
        <w:t xml:space="preserve">Vysvětlení/ změnu/ doplnění zadávací dokumentace včetně </w:t>
      </w:r>
      <w:r w:rsidRPr="00BD5319">
        <w:rPr>
          <w:rFonts w:eastAsia="Calibri" w:cs="Times New Roman"/>
          <w:lang w:eastAsia="cs-CZ"/>
        </w:rPr>
        <w:t xml:space="preserve">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9F9F749" w14:textId="77777777" w:rsidR="00BD5319" w:rsidRPr="00BD5319" w:rsidRDefault="00BD5319" w:rsidP="00BD5319">
      <w:pPr>
        <w:spacing w:before="120" w:after="0" w:line="240" w:lineRule="auto"/>
        <w:rPr>
          <w:rFonts w:eastAsia="Calibri" w:cs="Times New Roman"/>
          <w:b/>
          <w:bCs/>
          <w:lang w:eastAsia="cs-CZ"/>
        </w:rPr>
      </w:pPr>
    </w:p>
    <w:p w14:paraId="3590ACEC" w14:textId="77777777" w:rsidR="00BD5319" w:rsidRPr="00BD5319" w:rsidRDefault="00BD5319" w:rsidP="00BD5319">
      <w:pPr>
        <w:tabs>
          <w:tab w:val="center" w:pos="7371"/>
        </w:tabs>
        <w:spacing w:after="0" w:line="240" w:lineRule="auto"/>
        <w:rPr>
          <w:rFonts w:eastAsia="Calibri" w:cs="Times New Roman"/>
          <w:b/>
          <w:bCs/>
          <w:lang w:eastAsia="cs-CZ"/>
        </w:rPr>
      </w:pPr>
    </w:p>
    <w:p w14:paraId="0DF0EEB3" w14:textId="77777777" w:rsidR="0051661B" w:rsidRDefault="00BD5319" w:rsidP="00BD5319">
      <w:pPr>
        <w:tabs>
          <w:tab w:val="center" w:pos="7371"/>
        </w:tabs>
        <w:spacing w:after="0" w:line="240" w:lineRule="auto"/>
        <w:rPr>
          <w:rFonts w:eastAsia="Calibri" w:cs="Times New Roman"/>
          <w:b/>
          <w:bCs/>
          <w:lang w:eastAsia="cs-CZ"/>
        </w:rPr>
      </w:pPr>
      <w:r w:rsidRPr="006673F8">
        <w:rPr>
          <w:rFonts w:eastAsia="Calibri" w:cs="Times New Roman"/>
          <w:b/>
          <w:bCs/>
          <w:lang w:eastAsia="cs-CZ"/>
        </w:rPr>
        <w:t>Příloha:</w:t>
      </w:r>
      <w:r w:rsidRPr="00BD5319">
        <w:rPr>
          <w:rFonts w:eastAsia="Calibri" w:cs="Times New Roman"/>
          <w:b/>
          <w:bCs/>
          <w:lang w:eastAsia="cs-CZ"/>
        </w:rPr>
        <w:t xml:space="preserve"> </w:t>
      </w:r>
    </w:p>
    <w:p w14:paraId="7BBEA126" w14:textId="77777777" w:rsidR="00B54328" w:rsidRPr="006673F8" w:rsidRDefault="00B54328" w:rsidP="00BD5319">
      <w:pPr>
        <w:tabs>
          <w:tab w:val="center" w:pos="7371"/>
        </w:tabs>
        <w:spacing w:after="0" w:line="240" w:lineRule="auto"/>
        <w:rPr>
          <w:rFonts w:eastAsia="Calibri" w:cs="Times New Roman"/>
          <w:bCs/>
          <w:lang w:eastAsia="cs-CZ"/>
        </w:rPr>
      </w:pPr>
      <w:r w:rsidRPr="006673F8">
        <w:rPr>
          <w:rFonts w:eastAsia="Calibri" w:cs="Times New Roman"/>
          <w:bCs/>
          <w:lang w:eastAsia="cs-CZ"/>
        </w:rPr>
        <w:t>XDC_Lipnik_Drahotuse_zm02.xdc</w:t>
      </w:r>
    </w:p>
    <w:p w14:paraId="0A46A7D0" w14:textId="1FDFD968" w:rsidR="00BD5319" w:rsidRPr="006673F8" w:rsidRDefault="00B54328" w:rsidP="00BD5319">
      <w:pPr>
        <w:tabs>
          <w:tab w:val="center" w:pos="7371"/>
        </w:tabs>
        <w:spacing w:after="0" w:line="240" w:lineRule="auto"/>
        <w:rPr>
          <w:rFonts w:eastAsia="Calibri" w:cs="Times New Roman"/>
          <w:b/>
          <w:bCs/>
          <w:lang w:eastAsia="cs-CZ"/>
        </w:rPr>
      </w:pPr>
      <w:r w:rsidRPr="006673F8">
        <w:rPr>
          <w:rFonts w:eastAsia="Calibri" w:cs="Times New Roman"/>
          <w:bCs/>
          <w:lang w:eastAsia="cs-CZ"/>
        </w:rPr>
        <w:t>XLS_Lipnik_Drahotuse_zm02.xls</w:t>
      </w:r>
    </w:p>
    <w:p w14:paraId="53A09461" w14:textId="77777777" w:rsidR="00BD5319" w:rsidRPr="00BD5319" w:rsidRDefault="00BD5319" w:rsidP="00BD5319">
      <w:pPr>
        <w:spacing w:after="0" w:line="240" w:lineRule="auto"/>
        <w:jc w:val="both"/>
        <w:rPr>
          <w:rFonts w:eastAsia="Calibri" w:cs="Times New Roman"/>
          <w:lang w:eastAsia="cs-CZ"/>
        </w:rPr>
      </w:pPr>
    </w:p>
    <w:p w14:paraId="52692175" w14:textId="77777777" w:rsidR="00BD5319" w:rsidRPr="00BD5319" w:rsidRDefault="00BD5319" w:rsidP="00BD5319">
      <w:pPr>
        <w:spacing w:after="0" w:line="240" w:lineRule="auto"/>
        <w:jc w:val="both"/>
        <w:rPr>
          <w:rFonts w:eastAsia="Calibri" w:cs="Times New Roman"/>
          <w:lang w:eastAsia="cs-CZ"/>
        </w:rPr>
      </w:pPr>
    </w:p>
    <w:p w14:paraId="6988F9C6" w14:textId="40328601" w:rsidR="00BD5319" w:rsidRDefault="00BD5319" w:rsidP="00BD5319">
      <w:pPr>
        <w:spacing w:after="0" w:line="240" w:lineRule="auto"/>
        <w:jc w:val="both"/>
        <w:rPr>
          <w:rFonts w:eastAsia="Calibri" w:cs="Times New Roman"/>
          <w:lang w:eastAsia="cs-CZ"/>
        </w:rPr>
      </w:pPr>
    </w:p>
    <w:p w14:paraId="6D4BA189" w14:textId="34E09FCC" w:rsidR="006673F8" w:rsidRDefault="006673F8" w:rsidP="00BD5319">
      <w:pPr>
        <w:spacing w:after="0" w:line="240" w:lineRule="auto"/>
        <w:jc w:val="both"/>
        <w:rPr>
          <w:rFonts w:eastAsia="Calibri" w:cs="Times New Roman"/>
          <w:lang w:eastAsia="cs-CZ"/>
        </w:rPr>
      </w:pPr>
    </w:p>
    <w:p w14:paraId="285F213D" w14:textId="754BFE40" w:rsidR="006673F8" w:rsidRDefault="006673F8" w:rsidP="00BD5319">
      <w:pPr>
        <w:spacing w:after="0" w:line="240" w:lineRule="auto"/>
        <w:jc w:val="both"/>
        <w:rPr>
          <w:rFonts w:eastAsia="Calibri" w:cs="Times New Roman"/>
          <w:lang w:eastAsia="cs-CZ"/>
        </w:rPr>
      </w:pPr>
    </w:p>
    <w:p w14:paraId="46E31FC8" w14:textId="57913A4E" w:rsidR="00BD5319" w:rsidRDefault="00BD5319" w:rsidP="00BD5319">
      <w:pPr>
        <w:spacing w:after="0" w:line="240" w:lineRule="auto"/>
        <w:jc w:val="both"/>
        <w:rPr>
          <w:rFonts w:eastAsia="Calibri" w:cs="Times New Roman"/>
          <w:lang w:eastAsia="cs-CZ"/>
        </w:rPr>
      </w:pPr>
    </w:p>
    <w:p w14:paraId="7976BA11" w14:textId="77777777" w:rsidR="006673F8" w:rsidRPr="00BD5319" w:rsidRDefault="006673F8" w:rsidP="00BD5319">
      <w:pPr>
        <w:spacing w:after="0" w:line="240" w:lineRule="auto"/>
        <w:jc w:val="both"/>
        <w:rPr>
          <w:rFonts w:eastAsia="Calibri" w:cs="Times New Roman"/>
          <w:lang w:eastAsia="cs-CZ"/>
        </w:rPr>
      </w:pPr>
    </w:p>
    <w:p w14:paraId="1247295B"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4F0A388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5627CD9D"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5007E4D0"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59E1E52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4A2161C9" w14:textId="77777777" w:rsidR="00BD5319" w:rsidRPr="00BD5319" w:rsidRDefault="00BD5319" w:rsidP="00BD5319">
      <w:pPr>
        <w:spacing w:after="0" w:line="240" w:lineRule="auto"/>
        <w:rPr>
          <w:rFonts w:eastAsia="Calibri" w:cs="Times New Roman"/>
          <w:lang w:eastAsia="cs-CZ"/>
        </w:rPr>
      </w:pPr>
    </w:p>
    <w:p w14:paraId="56513505" w14:textId="77777777"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14:paraId="046BD830"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FBE2FC" w14:textId="77777777" w:rsidR="006022AA" w:rsidRDefault="006022AA" w:rsidP="00962258">
      <w:pPr>
        <w:spacing w:after="0" w:line="240" w:lineRule="auto"/>
      </w:pPr>
      <w:r>
        <w:separator/>
      </w:r>
    </w:p>
  </w:endnote>
  <w:endnote w:type="continuationSeparator" w:id="0">
    <w:p w14:paraId="08203A7E" w14:textId="77777777" w:rsidR="006022AA" w:rsidRDefault="006022A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2DB227F" w14:textId="77777777" w:rsidTr="00D831A3">
      <w:tc>
        <w:tcPr>
          <w:tcW w:w="1361" w:type="dxa"/>
          <w:tcMar>
            <w:left w:w="0" w:type="dxa"/>
            <w:right w:w="0" w:type="dxa"/>
          </w:tcMar>
          <w:vAlign w:val="bottom"/>
        </w:tcPr>
        <w:p w14:paraId="459E2479" w14:textId="2B4D047A"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703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5703D">
            <w:rPr>
              <w:rStyle w:val="slostrnky"/>
              <w:noProof/>
            </w:rPr>
            <w:t>3</w:t>
          </w:r>
          <w:r w:rsidRPr="00B8518B">
            <w:rPr>
              <w:rStyle w:val="slostrnky"/>
            </w:rPr>
            <w:fldChar w:fldCharType="end"/>
          </w:r>
        </w:p>
      </w:tc>
      <w:tc>
        <w:tcPr>
          <w:tcW w:w="3458" w:type="dxa"/>
          <w:shd w:val="clear" w:color="auto" w:fill="auto"/>
          <w:tcMar>
            <w:left w:w="0" w:type="dxa"/>
            <w:right w:w="0" w:type="dxa"/>
          </w:tcMar>
        </w:tcPr>
        <w:p w14:paraId="5EEA12B7" w14:textId="77777777" w:rsidR="00F1715C" w:rsidRDefault="00F1715C" w:rsidP="00B8518B">
          <w:pPr>
            <w:pStyle w:val="Zpat"/>
          </w:pPr>
        </w:p>
      </w:tc>
      <w:tc>
        <w:tcPr>
          <w:tcW w:w="2835" w:type="dxa"/>
          <w:shd w:val="clear" w:color="auto" w:fill="auto"/>
          <w:tcMar>
            <w:left w:w="0" w:type="dxa"/>
            <w:right w:w="0" w:type="dxa"/>
          </w:tcMar>
        </w:tcPr>
        <w:p w14:paraId="54DCF1BD" w14:textId="77777777" w:rsidR="00F1715C" w:rsidRDefault="00F1715C" w:rsidP="00B8518B">
          <w:pPr>
            <w:pStyle w:val="Zpat"/>
          </w:pPr>
        </w:p>
      </w:tc>
      <w:tc>
        <w:tcPr>
          <w:tcW w:w="2921" w:type="dxa"/>
        </w:tcPr>
        <w:p w14:paraId="3B32B1C8" w14:textId="77777777" w:rsidR="00F1715C" w:rsidRDefault="00F1715C" w:rsidP="00D831A3">
          <w:pPr>
            <w:pStyle w:val="Zpat"/>
          </w:pPr>
        </w:p>
      </w:tc>
    </w:tr>
  </w:tbl>
  <w:p w14:paraId="4BC717A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5AE45A20" w14:textId="77777777" w:rsidTr="00F1715C">
      <w:tc>
        <w:tcPr>
          <w:tcW w:w="1361" w:type="dxa"/>
          <w:tcMar>
            <w:left w:w="0" w:type="dxa"/>
            <w:right w:w="0" w:type="dxa"/>
          </w:tcMar>
          <w:vAlign w:val="bottom"/>
        </w:tcPr>
        <w:p w14:paraId="29B57BFB" w14:textId="057C08EF"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022A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022AA">
            <w:rPr>
              <w:rStyle w:val="slostrnky"/>
              <w:noProof/>
            </w:rPr>
            <w:t>1</w:t>
          </w:r>
          <w:r w:rsidRPr="00B8518B">
            <w:rPr>
              <w:rStyle w:val="slostrnky"/>
            </w:rPr>
            <w:fldChar w:fldCharType="end"/>
          </w:r>
        </w:p>
      </w:tc>
      <w:tc>
        <w:tcPr>
          <w:tcW w:w="3458" w:type="dxa"/>
          <w:shd w:val="clear" w:color="auto" w:fill="auto"/>
          <w:tcMar>
            <w:left w:w="0" w:type="dxa"/>
            <w:right w:w="0" w:type="dxa"/>
          </w:tcMar>
        </w:tcPr>
        <w:p w14:paraId="32621AB6" w14:textId="77777777" w:rsidR="00712ED1" w:rsidRDefault="00712ED1" w:rsidP="00331004">
          <w:pPr>
            <w:pStyle w:val="Zpat"/>
          </w:pPr>
          <w:r>
            <w:t>Správa železnic, státní organizace</w:t>
          </w:r>
        </w:p>
        <w:p w14:paraId="78A77960"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712ED1" w:rsidRDefault="00712ED1" w:rsidP="00331004">
          <w:pPr>
            <w:pStyle w:val="Zpat"/>
          </w:pPr>
          <w:r>
            <w:t>Sídlo: Dlážděná 1003/7, 110 00 Praha 1</w:t>
          </w:r>
        </w:p>
        <w:p w14:paraId="2CBB5B40" w14:textId="77777777" w:rsidR="00712ED1" w:rsidRDefault="00712ED1" w:rsidP="00331004">
          <w:pPr>
            <w:pStyle w:val="Zpat"/>
          </w:pPr>
          <w:r>
            <w:t>IČO: 709 94 234 DIČ: CZ 709 94 234</w:t>
          </w:r>
        </w:p>
        <w:p w14:paraId="2AA87A9F" w14:textId="77777777" w:rsidR="00712ED1" w:rsidRDefault="00712ED1" w:rsidP="00331004">
          <w:pPr>
            <w:pStyle w:val="Zpat"/>
          </w:pPr>
          <w:r>
            <w:t>www.</w:t>
          </w:r>
          <w:r w:rsidR="005A5F24">
            <w:t>spravazeleznic</w:t>
          </w:r>
          <w:r>
            <w:t>.cz</w:t>
          </w:r>
        </w:p>
      </w:tc>
      <w:tc>
        <w:tcPr>
          <w:tcW w:w="2921" w:type="dxa"/>
        </w:tcPr>
        <w:p w14:paraId="1C74ED78"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712ED1" w:rsidRDefault="00712ED1" w:rsidP="00331004">
          <w:pPr>
            <w:pStyle w:val="Zpat"/>
          </w:pPr>
        </w:p>
      </w:tc>
    </w:tr>
  </w:tbl>
  <w:p w14:paraId="05626F38"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AD489" w14:textId="77777777" w:rsidR="006022AA" w:rsidRDefault="006022AA" w:rsidP="00962258">
      <w:pPr>
        <w:spacing w:after="0" w:line="240" w:lineRule="auto"/>
      </w:pPr>
      <w:r>
        <w:separator/>
      </w:r>
    </w:p>
  </w:footnote>
  <w:footnote w:type="continuationSeparator" w:id="0">
    <w:p w14:paraId="7844180D" w14:textId="77777777" w:rsidR="006022AA" w:rsidRDefault="006022A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E7B5F54" w14:textId="77777777" w:rsidTr="00C02D0A">
      <w:trPr>
        <w:trHeight w:hRule="exact" w:val="454"/>
      </w:trPr>
      <w:tc>
        <w:tcPr>
          <w:tcW w:w="1361" w:type="dxa"/>
          <w:tcMar>
            <w:top w:w="57" w:type="dxa"/>
            <w:left w:w="0" w:type="dxa"/>
            <w:right w:w="0" w:type="dxa"/>
          </w:tcMar>
        </w:tcPr>
        <w:p w14:paraId="769DD766"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05D54C0" w14:textId="77777777" w:rsidR="00F1715C" w:rsidRDefault="00F1715C" w:rsidP="00523EA7">
          <w:pPr>
            <w:pStyle w:val="Zpat"/>
          </w:pPr>
        </w:p>
      </w:tc>
      <w:tc>
        <w:tcPr>
          <w:tcW w:w="5698" w:type="dxa"/>
          <w:shd w:val="clear" w:color="auto" w:fill="auto"/>
          <w:tcMar>
            <w:top w:w="57" w:type="dxa"/>
            <w:left w:w="0" w:type="dxa"/>
            <w:right w:w="0" w:type="dxa"/>
          </w:tcMar>
        </w:tcPr>
        <w:p w14:paraId="3789046B" w14:textId="77777777" w:rsidR="00F1715C" w:rsidRPr="00D6163D" w:rsidRDefault="00F1715C" w:rsidP="00D6163D">
          <w:pPr>
            <w:pStyle w:val="Druhdokumentu"/>
          </w:pPr>
        </w:p>
      </w:tc>
    </w:tr>
  </w:tbl>
  <w:p w14:paraId="7E04E6E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90951D3" w14:textId="77777777" w:rsidTr="00F1715C">
      <w:trPr>
        <w:trHeight w:hRule="exact" w:val="936"/>
      </w:trPr>
      <w:tc>
        <w:tcPr>
          <w:tcW w:w="1361" w:type="dxa"/>
          <w:tcMar>
            <w:left w:w="0" w:type="dxa"/>
            <w:right w:w="0" w:type="dxa"/>
          </w:tcMar>
        </w:tcPr>
        <w:p w14:paraId="22A99932"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F1715C" w:rsidRDefault="00F1715C" w:rsidP="00FC6389">
          <w:pPr>
            <w:pStyle w:val="Zpat"/>
          </w:pPr>
        </w:p>
      </w:tc>
      <w:tc>
        <w:tcPr>
          <w:tcW w:w="5698" w:type="dxa"/>
          <w:shd w:val="clear" w:color="auto" w:fill="auto"/>
          <w:tcMar>
            <w:left w:w="0" w:type="dxa"/>
            <w:right w:w="0" w:type="dxa"/>
          </w:tcMar>
        </w:tcPr>
        <w:p w14:paraId="04A5D5D7" w14:textId="77777777" w:rsidR="00F1715C" w:rsidRPr="00D6163D" w:rsidRDefault="00F1715C" w:rsidP="00FC6389">
          <w:pPr>
            <w:pStyle w:val="Druhdokumentu"/>
          </w:pPr>
        </w:p>
      </w:tc>
    </w:tr>
    <w:tr w:rsidR="00F64786" w14:paraId="43D6AB2C" w14:textId="77777777" w:rsidTr="00F64786">
      <w:trPr>
        <w:trHeight w:hRule="exact" w:val="452"/>
      </w:trPr>
      <w:tc>
        <w:tcPr>
          <w:tcW w:w="1361" w:type="dxa"/>
          <w:tcMar>
            <w:left w:w="0" w:type="dxa"/>
            <w:right w:w="0" w:type="dxa"/>
          </w:tcMar>
        </w:tcPr>
        <w:p w14:paraId="2594F8C0"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F17A335" w14:textId="77777777" w:rsidR="00F64786" w:rsidRDefault="00F64786" w:rsidP="00FC6389">
          <w:pPr>
            <w:pStyle w:val="Zpat"/>
          </w:pPr>
        </w:p>
      </w:tc>
      <w:tc>
        <w:tcPr>
          <w:tcW w:w="5698" w:type="dxa"/>
          <w:shd w:val="clear" w:color="auto" w:fill="auto"/>
          <w:tcMar>
            <w:left w:w="0" w:type="dxa"/>
            <w:right w:w="0" w:type="dxa"/>
          </w:tcMar>
        </w:tcPr>
        <w:p w14:paraId="28DD10B5" w14:textId="77777777" w:rsidR="00F64786" w:rsidRDefault="00F64786" w:rsidP="00FC6389">
          <w:pPr>
            <w:pStyle w:val="Druhdokumentu"/>
            <w:rPr>
              <w:noProof/>
            </w:rPr>
          </w:pPr>
        </w:p>
      </w:tc>
    </w:tr>
  </w:tbl>
  <w:p w14:paraId="1D71926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D18555D"/>
    <w:multiLevelType w:val="hybridMultilevel"/>
    <w:tmpl w:val="4C4698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BF76403"/>
    <w:multiLevelType w:val="multilevel"/>
    <w:tmpl w:val="0D34D660"/>
    <w:numStyleLink w:val="ListBulletmultileve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2"/>
  </w:num>
  <w:num w:numId="2">
    <w:abstractNumId w:val="1"/>
  </w:num>
  <w:num w:numId="3">
    <w:abstractNumId w:val="4"/>
  </w:num>
  <w:num w:numId="4">
    <w:abstractNumId w:val="6"/>
  </w:num>
  <w:num w:numId="5">
    <w:abstractNumId w:val="0"/>
  </w:num>
  <w:num w:numId="6">
    <w:abstractNumId w:val="5"/>
  </w:num>
  <w:num w:numId="7">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550A1"/>
    <w:rsid w:val="00072C1E"/>
    <w:rsid w:val="00080E84"/>
    <w:rsid w:val="000B3A82"/>
    <w:rsid w:val="000B6C7E"/>
    <w:rsid w:val="000B7907"/>
    <w:rsid w:val="000C0429"/>
    <w:rsid w:val="000C45E8"/>
    <w:rsid w:val="00114472"/>
    <w:rsid w:val="00170EC5"/>
    <w:rsid w:val="001747C1"/>
    <w:rsid w:val="0018596A"/>
    <w:rsid w:val="001B69C2"/>
    <w:rsid w:val="001B72C8"/>
    <w:rsid w:val="001C4DA0"/>
    <w:rsid w:val="00207DF5"/>
    <w:rsid w:val="00267369"/>
    <w:rsid w:val="0026785D"/>
    <w:rsid w:val="0028524B"/>
    <w:rsid w:val="002C31BF"/>
    <w:rsid w:val="002E0CD7"/>
    <w:rsid w:val="002E5F6D"/>
    <w:rsid w:val="002F026B"/>
    <w:rsid w:val="00357BC6"/>
    <w:rsid w:val="00367577"/>
    <w:rsid w:val="0037111D"/>
    <w:rsid w:val="003756B9"/>
    <w:rsid w:val="003956C6"/>
    <w:rsid w:val="003E6B9A"/>
    <w:rsid w:val="003E75CE"/>
    <w:rsid w:val="00400B79"/>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1654"/>
    <w:rsid w:val="00511AB9"/>
    <w:rsid w:val="0051661B"/>
    <w:rsid w:val="00523EA7"/>
    <w:rsid w:val="00526C74"/>
    <w:rsid w:val="00542527"/>
    <w:rsid w:val="00545020"/>
    <w:rsid w:val="00551D1F"/>
    <w:rsid w:val="00553375"/>
    <w:rsid w:val="005658A6"/>
    <w:rsid w:val="005720E7"/>
    <w:rsid w:val="005722BB"/>
    <w:rsid w:val="005736B7"/>
    <w:rsid w:val="00575E5A"/>
    <w:rsid w:val="00584E2A"/>
    <w:rsid w:val="005868F6"/>
    <w:rsid w:val="00596C7E"/>
    <w:rsid w:val="005A5F24"/>
    <w:rsid w:val="005A64E9"/>
    <w:rsid w:val="005B5EE9"/>
    <w:rsid w:val="005C737A"/>
    <w:rsid w:val="006022AA"/>
    <w:rsid w:val="00602D17"/>
    <w:rsid w:val="006104F6"/>
    <w:rsid w:val="0061068E"/>
    <w:rsid w:val="00636B2F"/>
    <w:rsid w:val="0065601C"/>
    <w:rsid w:val="00660AD3"/>
    <w:rsid w:val="006673F8"/>
    <w:rsid w:val="006873B1"/>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E4A6E"/>
    <w:rsid w:val="007F56A7"/>
    <w:rsid w:val="00807DD0"/>
    <w:rsid w:val="00813F11"/>
    <w:rsid w:val="00891334"/>
    <w:rsid w:val="008A3568"/>
    <w:rsid w:val="008D03B9"/>
    <w:rsid w:val="008F18D6"/>
    <w:rsid w:val="00904780"/>
    <w:rsid w:val="009113A8"/>
    <w:rsid w:val="00922385"/>
    <w:rsid w:val="009223DF"/>
    <w:rsid w:val="00936091"/>
    <w:rsid w:val="009379DA"/>
    <w:rsid w:val="00940D8A"/>
    <w:rsid w:val="00962258"/>
    <w:rsid w:val="009678B7"/>
    <w:rsid w:val="00976872"/>
    <w:rsid w:val="00982411"/>
    <w:rsid w:val="00992D9C"/>
    <w:rsid w:val="00996CB8"/>
    <w:rsid w:val="009A143E"/>
    <w:rsid w:val="009A7568"/>
    <w:rsid w:val="009B2E97"/>
    <w:rsid w:val="009B3C69"/>
    <w:rsid w:val="009B72CC"/>
    <w:rsid w:val="009E07F4"/>
    <w:rsid w:val="009F392E"/>
    <w:rsid w:val="00A34313"/>
    <w:rsid w:val="00A44328"/>
    <w:rsid w:val="00A6177B"/>
    <w:rsid w:val="00A66136"/>
    <w:rsid w:val="00AA4CBB"/>
    <w:rsid w:val="00AA65FA"/>
    <w:rsid w:val="00AA7351"/>
    <w:rsid w:val="00AB0437"/>
    <w:rsid w:val="00AD056F"/>
    <w:rsid w:val="00AD2773"/>
    <w:rsid w:val="00AD6731"/>
    <w:rsid w:val="00AE1DDE"/>
    <w:rsid w:val="00B15B5E"/>
    <w:rsid w:val="00B15D0D"/>
    <w:rsid w:val="00B23CA3"/>
    <w:rsid w:val="00B3491A"/>
    <w:rsid w:val="00B45E9E"/>
    <w:rsid w:val="00B54328"/>
    <w:rsid w:val="00B55F9C"/>
    <w:rsid w:val="00B75EE1"/>
    <w:rsid w:val="00B77481"/>
    <w:rsid w:val="00B8518B"/>
    <w:rsid w:val="00BB3740"/>
    <w:rsid w:val="00BC39F0"/>
    <w:rsid w:val="00BC703D"/>
    <w:rsid w:val="00BD5319"/>
    <w:rsid w:val="00BD7E91"/>
    <w:rsid w:val="00BF374D"/>
    <w:rsid w:val="00BF6D48"/>
    <w:rsid w:val="00C02D0A"/>
    <w:rsid w:val="00C03A6E"/>
    <w:rsid w:val="00C23946"/>
    <w:rsid w:val="00C30759"/>
    <w:rsid w:val="00C44F6A"/>
    <w:rsid w:val="00C727E5"/>
    <w:rsid w:val="00C8207D"/>
    <w:rsid w:val="00C870BF"/>
    <w:rsid w:val="00CB7B5A"/>
    <w:rsid w:val="00CC1E2B"/>
    <w:rsid w:val="00CD1FC4"/>
    <w:rsid w:val="00CE371D"/>
    <w:rsid w:val="00D02A4D"/>
    <w:rsid w:val="00D21061"/>
    <w:rsid w:val="00D316A7"/>
    <w:rsid w:val="00D4108E"/>
    <w:rsid w:val="00D6163D"/>
    <w:rsid w:val="00D63009"/>
    <w:rsid w:val="00D831A3"/>
    <w:rsid w:val="00D902AD"/>
    <w:rsid w:val="00DA6FFE"/>
    <w:rsid w:val="00DC27A6"/>
    <w:rsid w:val="00DC3110"/>
    <w:rsid w:val="00DD46F3"/>
    <w:rsid w:val="00DD58A6"/>
    <w:rsid w:val="00DE56F2"/>
    <w:rsid w:val="00DF116D"/>
    <w:rsid w:val="00DF578E"/>
    <w:rsid w:val="00E0785D"/>
    <w:rsid w:val="00E10710"/>
    <w:rsid w:val="00E5703D"/>
    <w:rsid w:val="00E824F1"/>
    <w:rsid w:val="00E86C7E"/>
    <w:rsid w:val="00EB104F"/>
    <w:rsid w:val="00ED14BD"/>
    <w:rsid w:val="00F01440"/>
    <w:rsid w:val="00F12DEC"/>
    <w:rsid w:val="00F1715C"/>
    <w:rsid w:val="00F310F8"/>
    <w:rsid w:val="00F35939"/>
    <w:rsid w:val="00F45607"/>
    <w:rsid w:val="00F64786"/>
    <w:rsid w:val="00F659EB"/>
    <w:rsid w:val="00F804A7"/>
    <w:rsid w:val="00F862D6"/>
    <w:rsid w:val="00F86BA6"/>
    <w:rsid w:val="00FC224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703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1B7A8C2-99EB-4DA5-AF33-AC5DFC0D8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3</Pages>
  <Words>999</Words>
  <Characters>5899</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Hošna Štěpán, Mgr.</cp:lastModifiedBy>
  <cp:revision>2</cp:revision>
  <cp:lastPrinted>2019-02-22T13:28:00Z</cp:lastPrinted>
  <dcterms:created xsi:type="dcterms:W3CDTF">2023-05-09T12:13:00Z</dcterms:created>
  <dcterms:modified xsi:type="dcterms:W3CDTF">2023-05-09T12:13:00Z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