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875" w:rsidRDefault="00F56875" w:rsidP="00F56875">
      <w:pPr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ar-SA"/>
        </w:rPr>
      </w:pPr>
      <w:bookmarkStart w:id="0" w:name="_GoBack"/>
      <w:bookmarkEnd w:id="0"/>
    </w:p>
    <w:p w:rsidR="00F56875" w:rsidRPr="00F56875" w:rsidRDefault="00F56875" w:rsidP="00F56875">
      <w:pPr>
        <w:spacing w:after="240" w:line="264" w:lineRule="auto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56875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056D66">
        <w:rPr>
          <w:rFonts w:eastAsia="Verdana" w:cs="Times New Roman"/>
          <w:sz w:val="18"/>
          <w:szCs w:val="18"/>
          <w:lang w:eastAsia="cs-CZ"/>
        </w:rPr>
        <w:t>5</w:t>
      </w:r>
      <w:r w:rsidRPr="00F56875">
        <w:rPr>
          <w:rFonts w:eastAsia="Verdana" w:cs="Times New Roman"/>
          <w:sz w:val="18"/>
          <w:szCs w:val="18"/>
          <w:lang w:eastAsia="cs-CZ"/>
        </w:rPr>
        <w:t xml:space="preserve"> Výzvy</w:t>
      </w:r>
      <w:r w:rsidR="006B34F3">
        <w:rPr>
          <w:rFonts w:eastAsia="Verdana" w:cs="Times New Roman"/>
          <w:sz w:val="18"/>
          <w:szCs w:val="18"/>
          <w:lang w:eastAsia="cs-CZ"/>
        </w:rPr>
        <w:t xml:space="preserve"> k podání nabídky</w:t>
      </w:r>
    </w:p>
    <w:p w:rsidR="00F56875" w:rsidRPr="00F56875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Ob</w:t>
      </w:r>
      <w:r w:rsidR="004430AD">
        <w:rPr>
          <w:rFonts w:eastAsia="Times New Roman" w:cs="Times New Roman"/>
          <w:b/>
          <w:color w:val="FF5200"/>
          <w:spacing w:val="-6"/>
          <w:sz w:val="36"/>
          <w:szCs w:val="36"/>
        </w:rPr>
        <w:t>sah Technických podmínek dodacích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F56875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bCs/>
          <w:sz w:val="18"/>
          <w:szCs w:val="18"/>
          <w:lang w:eastAsia="cs-CZ"/>
        </w:rPr>
        <w:t>výrobce, název výrobku, číslo TPD (č.j. odběratele), čísla r</w:t>
      </w:r>
      <w:r w:rsidRPr="00F56875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dodavatele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i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odběratele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vč.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="0098410F" w:rsidRPr="00F56875">
        <w:rPr>
          <w:rFonts w:eastAsia="Times New Roman" w:cs="Arial"/>
          <w:sz w:val="18"/>
          <w:szCs w:val="18"/>
          <w:lang w:eastAsia="cs-CZ"/>
        </w:rPr>
        <w:t>D</w:t>
      </w:r>
      <w:r w:rsidRPr="00F56875">
        <w:rPr>
          <w:rFonts w:eastAsia="Times New Roman" w:cs="Arial"/>
          <w:sz w:val="18"/>
          <w:szCs w:val="18"/>
          <w:lang w:eastAsia="cs-CZ"/>
        </w:rPr>
        <w:t>ata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schválení,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údaje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F56875" w:rsidTr="00BF730E">
        <w:trPr>
          <w:trHeight w:val="38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2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11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(č.j. odběratele):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03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F56875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F56875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F56875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 (základní materiál a další polotovary - např. drobná příprava -kroužky, nitě, šněrovadla atd.) </w:t>
      </w:r>
      <w:r w:rsidRPr="00F56875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lastRenderedPageBreak/>
        <w:t xml:space="preserve">Značení na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dodáním, skladováním či používáním výrobku.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Velikostní sortiment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Fotografie výrobku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F56875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:rsid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Materiálové listy, kterými výrobce materiálu dokládá materiálové složení a vlastnosti materiálu, Prohlášení o</w:t>
      </w:r>
      <w:r w:rsidR="001431D1">
        <w:rPr>
          <w:rFonts w:eastAsia="Times New Roman" w:cs="Arial"/>
          <w:sz w:val="18"/>
          <w:szCs w:val="18"/>
          <w:lang w:eastAsia="cs-CZ"/>
        </w:rPr>
        <w:t xml:space="preserve"> zdravotní nezávadnosti výrobků</w:t>
      </w:r>
    </w:p>
    <w:p w:rsidR="0028644E" w:rsidRPr="00F56875" w:rsidRDefault="0028644E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suppressAutoHyphens/>
        <w:spacing w:after="0" w:line="240" w:lineRule="auto"/>
        <w:rPr>
          <w:rFonts w:eastAsia="Times New Roman" w:cs="Arial"/>
          <w:b/>
          <w:sz w:val="18"/>
          <w:szCs w:val="18"/>
          <w:lang w:eastAsia="ar-SA"/>
        </w:rPr>
      </w:pPr>
    </w:p>
    <w:p w:rsidR="003727EC" w:rsidRPr="00F56875" w:rsidRDefault="003727EC">
      <w:pPr>
        <w:rPr>
          <w:sz w:val="18"/>
          <w:szCs w:val="18"/>
        </w:rPr>
      </w:pPr>
    </w:p>
    <w:sectPr w:rsidR="003727EC" w:rsidRPr="00F56875" w:rsidSect="00F56875">
      <w:footerReference w:type="even" r:id="rId7"/>
      <w:footerReference w:type="default" r:id="rId8"/>
      <w:headerReference w:type="first" r:id="rId9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1F07" w:rsidRDefault="00C61F07" w:rsidP="00F56875">
      <w:pPr>
        <w:spacing w:after="0" w:line="240" w:lineRule="auto"/>
      </w:pPr>
      <w:r>
        <w:separator/>
      </w:r>
    </w:p>
  </w:endnote>
  <w:end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7BD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4E07BD" w:rsidRDefault="005318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7BD" w:rsidRPr="002423DD" w:rsidRDefault="008C3517" w:rsidP="00B31848">
    <w:pPr>
      <w:pStyle w:val="Zpat"/>
      <w:spacing w:before="80"/>
      <w:jc w:val="center"/>
      <w:rPr>
        <w:rFonts w:ascii="Arial" w:hAnsi="Arial" w:cs="Arial"/>
        <w:b/>
        <w:sz w:val="22"/>
        <w:szCs w:val="22"/>
      </w:rPr>
    </w:pP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PAGE 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1431D1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t>/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 NUMPAGES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1431D1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1F07" w:rsidRDefault="00C61F07" w:rsidP="00F56875">
      <w:pPr>
        <w:spacing w:after="0" w:line="240" w:lineRule="auto"/>
      </w:pPr>
      <w:r>
        <w:separator/>
      </w:r>
    </w:p>
  </w:footnote>
  <w:foot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875" w:rsidRDefault="00625FF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1CDACF5" wp14:editId="5A7106EC">
          <wp:simplePos x="0" y="0"/>
          <wp:positionH relativeFrom="page">
            <wp:posOffset>435610</wp:posOffset>
          </wp:positionH>
          <wp:positionV relativeFrom="page">
            <wp:posOffset>274320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7BE"/>
    <w:rsid w:val="0005583F"/>
    <w:rsid w:val="00056D66"/>
    <w:rsid w:val="00073838"/>
    <w:rsid w:val="000B2748"/>
    <w:rsid w:val="00127826"/>
    <w:rsid w:val="00142D2A"/>
    <w:rsid w:val="001431D1"/>
    <w:rsid w:val="00150138"/>
    <w:rsid w:val="001A4127"/>
    <w:rsid w:val="001C0417"/>
    <w:rsid w:val="001D2C2E"/>
    <w:rsid w:val="00207C3D"/>
    <w:rsid w:val="00284823"/>
    <w:rsid w:val="0028644E"/>
    <w:rsid w:val="003727EC"/>
    <w:rsid w:val="003A0101"/>
    <w:rsid w:val="003C47BE"/>
    <w:rsid w:val="003D31B9"/>
    <w:rsid w:val="003F42B9"/>
    <w:rsid w:val="00420534"/>
    <w:rsid w:val="004430AD"/>
    <w:rsid w:val="004B004F"/>
    <w:rsid w:val="004D7C24"/>
    <w:rsid w:val="0053180B"/>
    <w:rsid w:val="00625FFE"/>
    <w:rsid w:val="0064051B"/>
    <w:rsid w:val="00641A4A"/>
    <w:rsid w:val="006B34F3"/>
    <w:rsid w:val="00796191"/>
    <w:rsid w:val="007D4024"/>
    <w:rsid w:val="00815CB3"/>
    <w:rsid w:val="00830903"/>
    <w:rsid w:val="00835DB3"/>
    <w:rsid w:val="008B7CEA"/>
    <w:rsid w:val="008C3517"/>
    <w:rsid w:val="008C4B2E"/>
    <w:rsid w:val="008F5EA4"/>
    <w:rsid w:val="00930839"/>
    <w:rsid w:val="0098410F"/>
    <w:rsid w:val="009F0D02"/>
    <w:rsid w:val="00A91E0E"/>
    <w:rsid w:val="00B91CC8"/>
    <w:rsid w:val="00BF6A6B"/>
    <w:rsid w:val="00C61F07"/>
    <w:rsid w:val="00CB40AC"/>
    <w:rsid w:val="00CE132A"/>
    <w:rsid w:val="00D434E3"/>
    <w:rsid w:val="00DA28F5"/>
    <w:rsid w:val="00E000B4"/>
    <w:rsid w:val="00E21C51"/>
    <w:rsid w:val="00EE4B23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99544-57C4-4CB6-ABB8-646909BF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  <w:style w:type="paragraph" w:styleId="Textbubliny">
    <w:name w:val="Balloon Text"/>
    <w:basedOn w:val="Normln"/>
    <w:link w:val="TextbublinyChar"/>
    <w:uiPriority w:val="99"/>
    <w:semiHidden/>
    <w:unhideWhenUsed/>
    <w:rsid w:val="00286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Kresová Petra, Bc.</cp:lastModifiedBy>
  <cp:revision>2</cp:revision>
  <cp:lastPrinted>2021-07-14T10:59:00Z</cp:lastPrinted>
  <dcterms:created xsi:type="dcterms:W3CDTF">2023-04-18T09:21:00Z</dcterms:created>
  <dcterms:modified xsi:type="dcterms:W3CDTF">2023-04-18T09:21:00Z</dcterms:modified>
</cp:coreProperties>
</file>