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15BE732B" w:rsidR="00EB4ECA" w:rsidRDefault="00A820EB" w:rsidP="00EB4ECA">
      <w:pPr>
        <w:pStyle w:val="Titul2"/>
      </w:pPr>
      <w:r>
        <w:t>Projektová dokumentace a z</w:t>
      </w:r>
      <w:r w:rsidR="00EB4ECA" w:rsidRPr="006C2343">
        <w:t>hotovení stavby</w:t>
      </w:r>
      <w:r w:rsidR="00EB4ECA">
        <w:t xml:space="preserve"> - podlimitní</w:t>
      </w:r>
    </w:p>
    <w:p w14:paraId="17CC9580" w14:textId="77777777" w:rsidR="0035531B" w:rsidRDefault="0035531B" w:rsidP="00EB46E5">
      <w:pPr>
        <w:pStyle w:val="Titul2"/>
      </w:pPr>
    </w:p>
    <w:p w14:paraId="1E8FFEA2" w14:textId="1FCDB55B" w:rsidR="0035531B" w:rsidRDefault="0035531B" w:rsidP="00EB46E5">
      <w:pPr>
        <w:pStyle w:val="Titul2"/>
      </w:pPr>
      <w:r w:rsidRPr="00A820EB">
        <w:t>„</w:t>
      </w:r>
      <w:r w:rsidR="00A820EB" w:rsidRPr="00A820EB">
        <w:t>Vybavení vybraných stanic a zastávek informačními panely, instalace SMART zastávek</w:t>
      </w:r>
      <w:r w:rsidRPr="00A820EB">
        <w:t>“</w:t>
      </w:r>
    </w:p>
    <w:p w14:paraId="152849FF" w14:textId="77777777" w:rsidR="00AD0C7B" w:rsidRPr="006C2343" w:rsidRDefault="00AD0C7B" w:rsidP="00EB46E5">
      <w:pPr>
        <w:pStyle w:val="Titul2"/>
      </w:pPr>
    </w:p>
    <w:p w14:paraId="45AB7781" w14:textId="3DBF9516" w:rsidR="00F46EA7" w:rsidRDefault="00F46EA7" w:rsidP="00F46EA7">
      <w:pPr>
        <w:pStyle w:val="Text1-1"/>
        <w:numPr>
          <w:ilvl w:val="0"/>
          <w:numId w:val="0"/>
        </w:numPr>
        <w:tabs>
          <w:tab w:val="left" w:pos="708"/>
        </w:tabs>
        <w:ind w:left="737" w:hanging="737"/>
      </w:pPr>
      <w:r>
        <w:t xml:space="preserve">Č.j. </w:t>
      </w:r>
      <w:r w:rsidR="00A820EB">
        <w:t>6353/2023-SŽ-SSZ-OVZ</w:t>
      </w:r>
    </w:p>
    <w:p w14:paraId="5E146EB9" w14:textId="3DD3C946" w:rsidR="00826B7B" w:rsidRDefault="00826B7B" w:rsidP="006C2343">
      <w:pPr>
        <w:pStyle w:val="Titul2"/>
      </w:pPr>
    </w:p>
    <w:p w14:paraId="00DD5288" w14:textId="433CF185" w:rsidR="00A820EB" w:rsidRDefault="00A820EB" w:rsidP="006C2343">
      <w:pPr>
        <w:pStyle w:val="Titul2"/>
      </w:pPr>
    </w:p>
    <w:p w14:paraId="140A4ECA" w14:textId="6A7D6A94" w:rsidR="00A820EB" w:rsidRDefault="00A820EB" w:rsidP="006C2343">
      <w:pPr>
        <w:pStyle w:val="Titul2"/>
      </w:pPr>
    </w:p>
    <w:p w14:paraId="686EAFBE" w14:textId="5A4E868E" w:rsidR="00A820EB" w:rsidRDefault="00A820EB" w:rsidP="006C2343">
      <w:pPr>
        <w:pStyle w:val="Titul2"/>
      </w:pPr>
    </w:p>
    <w:p w14:paraId="118CEA67" w14:textId="641E6271" w:rsidR="00A820EB" w:rsidRDefault="00A820EB" w:rsidP="006C2343">
      <w:pPr>
        <w:pStyle w:val="Titul2"/>
      </w:pPr>
    </w:p>
    <w:p w14:paraId="7CB3735F" w14:textId="77777777" w:rsidR="00A820EB" w:rsidRDefault="00A820E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51B6C6D" w14:textId="7675ED98" w:rsidR="00BD7E91" w:rsidRDefault="00BD7E91" w:rsidP="00FE4333">
      <w:pPr>
        <w:pStyle w:val="Nadpisbezsl1-1"/>
      </w:pPr>
      <w:r>
        <w:lastRenderedPageBreak/>
        <w:t>Obsah</w:t>
      </w:r>
      <w:r w:rsidR="00887F36">
        <w:t xml:space="preserve"> </w:t>
      </w:r>
    </w:p>
    <w:p w14:paraId="3F02B815" w14:textId="4119FA86"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D8539D">
          <w:rPr>
            <w:noProof/>
            <w:webHidden/>
          </w:rPr>
          <w:t>3</w:t>
        </w:r>
        <w:r w:rsidR="005710BE">
          <w:rPr>
            <w:noProof/>
            <w:webHidden/>
          </w:rPr>
          <w:fldChar w:fldCharType="end"/>
        </w:r>
      </w:hyperlink>
    </w:p>
    <w:p w14:paraId="665CC449" w14:textId="2720E57F" w:rsidR="005710BE" w:rsidRDefault="00D8539D">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09210B66" w:rsidR="005710BE" w:rsidRDefault="00D8539D">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623A1144" w:rsidR="005710BE" w:rsidRDefault="00D8539D">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0B431F9F" w:rsidR="005710BE" w:rsidRDefault="00D8539D">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6840ABBF" w:rsidR="005710BE" w:rsidRDefault="00D8539D">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522F9791" w:rsidR="005710BE" w:rsidRDefault="00D8539D">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6A2DBBE2" w:rsidR="005710BE" w:rsidRDefault="00D8539D">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141B9141" w:rsidR="005710BE" w:rsidRDefault="00D8539D">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17</w:t>
        </w:r>
        <w:r w:rsidR="005710BE">
          <w:rPr>
            <w:noProof/>
            <w:webHidden/>
          </w:rPr>
          <w:fldChar w:fldCharType="end"/>
        </w:r>
      </w:hyperlink>
    </w:p>
    <w:p w14:paraId="380DBAA6" w14:textId="1C610AFE" w:rsidR="005710BE" w:rsidRDefault="00D8539D">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69500636" w:rsidR="005710BE" w:rsidRDefault="00D8539D">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7D25917B" w14:textId="51687C20" w:rsidR="005710BE" w:rsidRDefault="00D8539D">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254B0E7A" w14:textId="2158D6E1" w:rsidR="005710BE" w:rsidRDefault="00D8539D">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4B77335D" w14:textId="50357643" w:rsidR="005710BE" w:rsidRDefault="00D8539D">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6FA56D8" w14:textId="52DBA153" w:rsidR="005710BE" w:rsidRDefault="00D8539D">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CE27110" w14:textId="07DFEBF1" w:rsidR="005710BE" w:rsidRDefault="00D8539D">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56184F6C" w14:textId="0D2744DA" w:rsidR="005710BE" w:rsidRDefault="00D8539D">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4264D041" w:rsidR="005710BE" w:rsidRDefault="00D8539D">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434654F3" w14:textId="09B6D2DD" w:rsidR="005710BE" w:rsidRDefault="00D8539D">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C35CA83" w14:textId="0D561171" w:rsidR="005710BE" w:rsidRDefault="00D8539D">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36A6F46F" w14:textId="0C4528E7" w:rsidR="005710BE" w:rsidRDefault="00D8539D">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07F082D8" w:rsidR="005710BE" w:rsidRDefault="00D8539D">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09DB5A6B" w14:textId="75C3AAA0" w:rsidR="005710BE" w:rsidRDefault="00D8539D">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FB7F2AE" w14:textId="70F4A4C3" w:rsidR="00DD7A41" w:rsidRPr="00DD7A41" w:rsidRDefault="00FC7398" w:rsidP="00DD7A41">
      <w:pPr>
        <w:pStyle w:val="Text1-1"/>
        <w:numPr>
          <w:ilvl w:val="0"/>
          <w:numId w:val="0"/>
        </w:numPr>
        <w:ind w:left="737"/>
      </w:pPr>
      <w:r w:rsidRPr="00204880">
        <w:rPr>
          <w:b/>
        </w:rPr>
        <w:t>Veřejná zakázka je veřejnou zakázkou na stavební práce a ve smyslu § 14 odst. 3 písm. c) ZZVZ je předmětem této veřejné zakázky rovněž poskytnutí souvisejících projektových činností</w:t>
      </w:r>
      <w:r>
        <w:rPr>
          <w:b/>
        </w:rPr>
        <w:t>.</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F1FAED4" w:rsidR="0035531B" w:rsidRDefault="0035531B" w:rsidP="00365158">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6DCDBC2C"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72104E9" w14:textId="77777777" w:rsidR="00283675" w:rsidRDefault="0035531B" w:rsidP="00D12B1F">
      <w:pPr>
        <w:pStyle w:val="Text1-1"/>
        <w:numPr>
          <w:ilvl w:val="1"/>
          <w:numId w:val="16"/>
        </w:numPr>
        <w:tabs>
          <w:tab w:val="clear" w:pos="737"/>
          <w:tab w:val="num" w:pos="1021"/>
        </w:tabs>
      </w:pPr>
      <w:r>
        <w:t xml:space="preserve">Kontaktní osobou zadavatele pro </w:t>
      </w:r>
      <w:r w:rsidR="009531C1">
        <w:t xml:space="preserve">výběrové </w:t>
      </w:r>
      <w:r>
        <w:t xml:space="preserve">řízení je: </w:t>
      </w:r>
      <w:r w:rsidR="00283675">
        <w:t>Ing. Jana Šedová</w:t>
      </w:r>
    </w:p>
    <w:p w14:paraId="78C64777" w14:textId="77777777" w:rsidR="00283675" w:rsidRDefault="00283675" w:rsidP="00283675">
      <w:pPr>
        <w:pStyle w:val="Textbezslovn"/>
        <w:spacing w:after="0"/>
      </w:pPr>
      <w:r>
        <w:t xml:space="preserve">telefon: </w:t>
      </w:r>
      <w:r>
        <w:tab/>
        <w:t>+420 727 966 017</w:t>
      </w:r>
    </w:p>
    <w:p w14:paraId="69B0A4DA" w14:textId="77777777" w:rsidR="00283675" w:rsidRDefault="00283675" w:rsidP="00283675">
      <w:pPr>
        <w:pStyle w:val="Text1-1"/>
        <w:numPr>
          <w:ilvl w:val="0"/>
          <w:numId w:val="0"/>
        </w:numPr>
        <w:spacing w:after="0"/>
        <w:ind w:left="737"/>
      </w:pPr>
      <w:r>
        <w:t xml:space="preserve">e-mail: </w:t>
      </w:r>
      <w:r>
        <w:tab/>
        <w:t>sedova@spravazeleznic.cz</w:t>
      </w:r>
    </w:p>
    <w:p w14:paraId="38B12C84" w14:textId="77777777" w:rsidR="00283675" w:rsidRDefault="00283675" w:rsidP="00283675">
      <w:pPr>
        <w:pStyle w:val="Textbezslovn"/>
        <w:spacing w:after="0" w:line="240" w:lineRule="auto"/>
      </w:pPr>
      <w:r>
        <w:t xml:space="preserve">adresa: </w:t>
      </w:r>
      <w:r>
        <w:tab/>
      </w:r>
      <w:r w:rsidRPr="00EC3056">
        <w:t>Správa železnic, státní organizace</w:t>
      </w:r>
    </w:p>
    <w:p w14:paraId="00059E52" w14:textId="77777777" w:rsidR="00283675" w:rsidRDefault="00283675" w:rsidP="00283675">
      <w:pPr>
        <w:pStyle w:val="Textbezslovn"/>
        <w:spacing w:after="0" w:line="240" w:lineRule="auto"/>
      </w:pPr>
      <w:r>
        <w:tab/>
      </w:r>
      <w:r>
        <w:tab/>
        <w:t>Stavební správa západ</w:t>
      </w:r>
    </w:p>
    <w:p w14:paraId="72976583" w14:textId="77777777" w:rsidR="00283675" w:rsidRDefault="00283675" w:rsidP="00283675">
      <w:pPr>
        <w:pStyle w:val="Textbezslovn"/>
        <w:spacing w:after="0" w:line="240" w:lineRule="auto"/>
        <w:ind w:left="1446" w:firstLine="681"/>
      </w:pPr>
      <w:r>
        <w:t xml:space="preserve">Budova Diamond Point, </w:t>
      </w:r>
    </w:p>
    <w:p w14:paraId="351E357F" w14:textId="77777777" w:rsidR="00283675" w:rsidRDefault="00283675" w:rsidP="00283675">
      <w:pPr>
        <w:pStyle w:val="Textbezslovn"/>
        <w:spacing w:after="0" w:line="240" w:lineRule="auto"/>
        <w:ind w:left="1446" w:firstLine="681"/>
      </w:pPr>
      <w:r>
        <w:t xml:space="preserve">Ke Štvanici 656/3 </w:t>
      </w:r>
    </w:p>
    <w:p w14:paraId="32D39B6C" w14:textId="62F727EB" w:rsidR="0035531B" w:rsidRDefault="00283675" w:rsidP="00283675">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DD7398">
      <w:pPr>
        <w:pStyle w:val="Text1-1"/>
      </w:pPr>
      <w:r>
        <w:t>Účel veřejné zakázky</w:t>
      </w:r>
    </w:p>
    <w:p w14:paraId="0B5796A6" w14:textId="77777777" w:rsidR="00DD7398" w:rsidRPr="00DD7398" w:rsidRDefault="00DD7398" w:rsidP="00DD7398">
      <w:pPr>
        <w:pStyle w:val="Nadpis1-1"/>
        <w:numPr>
          <w:ilvl w:val="0"/>
          <w:numId w:val="0"/>
        </w:numPr>
        <w:spacing w:before="0" w:after="0"/>
        <w:ind w:left="737"/>
        <w:contextualSpacing w:val="0"/>
        <w:jc w:val="both"/>
        <w:rPr>
          <w:b w:val="0"/>
          <w:caps w:val="0"/>
          <w:sz w:val="18"/>
        </w:rPr>
      </w:pPr>
      <w:r w:rsidRPr="00DD7398">
        <w:rPr>
          <w:b w:val="0"/>
          <w:caps w:val="0"/>
          <w:sz w:val="18"/>
        </w:rPr>
        <w:t>Účelem veřejné zakázky je instalace SMART zastávek. Tato služba cestující veřejnosti přispívá k zatraktivnění veřejné dopravy a tím i k eliminaci využívání individuální dopravy. Mezi hlavní přínosy instalace SMART zastávek patří zpřehlednění informací pro</w:t>
      </w:r>
    </w:p>
    <w:p w14:paraId="2CA9CFD0" w14:textId="3A3B087D" w:rsidR="0035531B" w:rsidRPr="00DD7398" w:rsidRDefault="00DD7398" w:rsidP="00DD7398">
      <w:pPr>
        <w:pStyle w:val="Nadpis1-1"/>
        <w:numPr>
          <w:ilvl w:val="0"/>
          <w:numId w:val="0"/>
        </w:numPr>
        <w:ind w:left="737"/>
        <w:jc w:val="both"/>
        <w:rPr>
          <w:b w:val="0"/>
          <w:caps w:val="0"/>
          <w:sz w:val="18"/>
        </w:rPr>
      </w:pPr>
      <w:r w:rsidRPr="00DD7398">
        <w:rPr>
          <w:b w:val="0"/>
          <w:caps w:val="0"/>
          <w:sz w:val="18"/>
        </w:rPr>
        <w:t>cestující veřejnost, a to pravidelně využívající železniční dopravu nebo náhodné cestující, u kterých je předpoklad horší orientace. Dále rozšíření služeb o akustické hlášení, přehled polohy vlaku v přilehlém mezistaničním úseku, možnost využití přístřešku cestujícími při nepříznivých povětrnostních podmínkách.</w:t>
      </w:r>
    </w:p>
    <w:p w14:paraId="09962EBD" w14:textId="77777777" w:rsidR="0035531B" w:rsidRDefault="0035531B" w:rsidP="0035531B">
      <w:pPr>
        <w:pStyle w:val="Text1-1"/>
      </w:pPr>
      <w:r>
        <w:t>Předmět plnění veřejné zakázky</w:t>
      </w:r>
    </w:p>
    <w:p w14:paraId="3F95D8A8" w14:textId="5823E556" w:rsidR="001E1A3D" w:rsidRDefault="00DD7398" w:rsidP="001E1A3D">
      <w:pPr>
        <w:pStyle w:val="Textbezslovn"/>
      </w:pPr>
      <w:r w:rsidRPr="008C605A">
        <w:t xml:space="preserve">Předmětem </w:t>
      </w:r>
      <w:r>
        <w:t>plnění veřejné zakázky</w:t>
      </w:r>
      <w:r w:rsidRPr="008C605A">
        <w:t xml:space="preserve"> je vyhotovení Projektové dokumentace pro stavební povolení</w:t>
      </w:r>
      <w:r>
        <w:t xml:space="preserve"> </w:t>
      </w:r>
      <w:r w:rsidRPr="005120A1">
        <w:t>(ohlášení)</w:t>
      </w:r>
      <w:r w:rsidRPr="008C605A">
        <w:t>, Projektové dokumentace pro provádění stavby a Zhotovení stavby „</w:t>
      </w:r>
      <w:r w:rsidRPr="008C605A">
        <w:rPr>
          <w:bCs/>
        </w:rPr>
        <w:t xml:space="preserve">Vybavení vybraných stanic a zastávek informačními </w:t>
      </w:r>
      <w:r w:rsidRPr="00A51CBB">
        <w:rPr>
          <w:bCs/>
        </w:rPr>
        <w:t>panely, instalace SMART zastávek</w:t>
      </w:r>
      <w:r w:rsidRPr="00A51CBB">
        <w:t>“. Předmětem stavby je</w:t>
      </w:r>
      <w:r>
        <w:t xml:space="preserve"> </w:t>
      </w:r>
      <w:r w:rsidRPr="000428D3">
        <w:t xml:space="preserve">zřízení „SMART zastávky“ na 12 vytipovaných železničních zastávkách v celkovém počtu 18 ks. Pojem „SMART zastávka“ je pro tuto stavbu definován jako </w:t>
      </w:r>
      <w:r>
        <w:t xml:space="preserve">kombinovaný </w:t>
      </w:r>
      <w:r w:rsidRPr="000428D3">
        <w:t>přístřešek pro cestující, jehož součástí je technologie SMART zastávky (elektronický</w:t>
      </w:r>
      <w:r w:rsidRPr="00C752DE">
        <w:t xml:space="preserve"> informační panel, SOS tlačítko, spínané LED</w:t>
      </w:r>
      <w:r>
        <w:t xml:space="preserve"> </w:t>
      </w:r>
      <w:r w:rsidRPr="00C752DE">
        <w:t>osvětlení, kamerový systém).</w:t>
      </w:r>
      <w:r>
        <w:t xml:space="preserve"> </w:t>
      </w:r>
      <w:r w:rsidRPr="00C752DE">
        <w:t>SMART zastávky budou umístěny na vhodném místě, kde budou přístupné cestující</w:t>
      </w:r>
      <w:r>
        <w:t xml:space="preserve"> </w:t>
      </w:r>
      <w:r w:rsidRPr="00C752DE">
        <w:t>veřejnosti a kde budou smysluplně využitelné v nepříznivých povětrnostních</w:t>
      </w:r>
      <w:r>
        <w:t xml:space="preserve"> </w:t>
      </w:r>
      <w:r w:rsidRPr="00C752DE">
        <w:t>podmínkách.</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43AE2E54" w:rsidR="00F0634D" w:rsidRPr="006B77B3" w:rsidRDefault="000B034E" w:rsidP="000B034E">
      <w:pPr>
        <w:pStyle w:val="Textbezslovn"/>
      </w:pPr>
      <w:r w:rsidRPr="00EA5BFC">
        <w:t>CPV kód 45213320-2 - Stavební úpravy objektů sloužících železniční dopravě</w:t>
      </w:r>
      <w:r w:rsidRPr="007C21AA">
        <w:rPr>
          <w:highlight w:val="green"/>
        </w:rPr>
        <w:t xml:space="preserve"> </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FE45252"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3719ED7" w:rsidR="007354E9" w:rsidRDefault="007354E9" w:rsidP="00337143">
      <w:pPr>
        <w:pStyle w:val="Text1-1"/>
        <w:spacing w:after="0"/>
      </w:pPr>
      <w:r w:rsidRPr="004F70A1">
        <w:t>Předpokládaná hodnota veřejné zakázky činí</w:t>
      </w:r>
      <w:r w:rsidR="009B0879">
        <w:t xml:space="preserve"> </w:t>
      </w:r>
      <w:r w:rsidR="006259F1">
        <w:rPr>
          <w:b/>
        </w:rPr>
        <w:t>35 609 144</w:t>
      </w:r>
      <w:r w:rsidR="009B0879">
        <w:rPr>
          <w:b/>
        </w:rPr>
        <w:t>,-</w:t>
      </w:r>
      <w:r w:rsidRPr="007354E9">
        <w:rPr>
          <w:b/>
        </w:rPr>
        <w:t xml:space="preserve"> Kč </w:t>
      </w:r>
      <w:r w:rsidRPr="004F70A1">
        <w:t>(bez DPH).</w:t>
      </w:r>
    </w:p>
    <w:p w14:paraId="041DE93A" w14:textId="4A8E94B5"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264B6B8F" w:rsidR="00FD39DE" w:rsidRPr="00B67AD5"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6B1F61" w:rsidRPr="00B67AD5">
        <w:rPr>
          <w:rStyle w:val="Tun9b"/>
        </w:rPr>
        <w:t>PŘEDPROJEKTOVÁ DOKUMENTACE</w:t>
      </w:r>
    </w:p>
    <w:p w14:paraId="366A10D6" w14:textId="316EE3A2" w:rsidR="006B1F61" w:rsidRPr="00B67AD5" w:rsidRDefault="006B1F61" w:rsidP="00FD39DE">
      <w:pPr>
        <w:pStyle w:val="Textbezslovn"/>
        <w:tabs>
          <w:tab w:val="left" w:pos="1701"/>
        </w:tabs>
        <w:ind w:left="1701" w:hanging="964"/>
        <w:rPr>
          <w:rStyle w:val="Tun9b"/>
        </w:rPr>
      </w:pPr>
      <w:r w:rsidRPr="00B67AD5">
        <w:rPr>
          <w:rStyle w:val="Tun9b"/>
          <w:b w:val="0"/>
        </w:rPr>
        <w:t xml:space="preserve">Část 1 </w:t>
      </w:r>
      <w:r w:rsidRPr="00B67AD5">
        <w:rPr>
          <w:rStyle w:val="Tun9b"/>
          <w:b w:val="0"/>
        </w:rPr>
        <w:tab/>
      </w:r>
      <w:r w:rsidRPr="00B67AD5">
        <w:t>Záměr projektu „Vybavení vybraných stanic a zastávek informačními panely, instalace SMART zastávek “ včetně příloh ZP, zpracovatel Správa železnic, datum 10/2021</w:t>
      </w:r>
      <w:bookmarkStart w:id="10" w:name="_GoBack"/>
      <w:bookmarkEnd w:id="10"/>
    </w:p>
    <w:p w14:paraId="7520B40B" w14:textId="77777777" w:rsidR="009A3611" w:rsidRPr="00B67AD5" w:rsidRDefault="00FD39DE" w:rsidP="009A3611">
      <w:pPr>
        <w:pStyle w:val="Textbezslovn"/>
        <w:tabs>
          <w:tab w:val="left" w:pos="1701"/>
        </w:tabs>
        <w:ind w:left="1701" w:hanging="964"/>
        <w:rPr>
          <w:rStyle w:val="Tun9b"/>
        </w:rPr>
      </w:pPr>
      <w:r w:rsidRPr="00B67AD5">
        <w:rPr>
          <w:rStyle w:val="Tun9b"/>
        </w:rPr>
        <w:t>DÍL 4</w:t>
      </w:r>
      <w:r w:rsidRPr="00B67AD5">
        <w:rPr>
          <w:rStyle w:val="Tun9b"/>
        </w:rPr>
        <w:tab/>
      </w:r>
      <w:r w:rsidR="009A3611" w:rsidRPr="00B67AD5">
        <w:rPr>
          <w:rStyle w:val="Tun9b"/>
        </w:rPr>
        <w:t>POŽADAVKY NA VÝKON a FUNKCI</w:t>
      </w:r>
    </w:p>
    <w:p w14:paraId="5281265A" w14:textId="77777777" w:rsidR="009A3611" w:rsidRPr="00B67AD5" w:rsidRDefault="009A3611" w:rsidP="009A3611">
      <w:pPr>
        <w:pStyle w:val="Textbezslovn"/>
        <w:tabs>
          <w:tab w:val="left" w:pos="1701"/>
        </w:tabs>
        <w:spacing w:after="0"/>
        <w:ind w:left="1701" w:hanging="964"/>
      </w:pPr>
      <w:r w:rsidRPr="00B67AD5">
        <w:t>Část 1</w:t>
      </w:r>
      <w:r w:rsidRPr="00B67AD5">
        <w:tab/>
        <w:t>Rekapitulace ceny</w:t>
      </w:r>
    </w:p>
    <w:p w14:paraId="3FA9225D" w14:textId="77777777" w:rsidR="009A3611" w:rsidRPr="00B67AD5" w:rsidRDefault="009A3611" w:rsidP="009A3611">
      <w:pPr>
        <w:pStyle w:val="Textbezslovn"/>
        <w:tabs>
          <w:tab w:val="left" w:pos="1701"/>
        </w:tabs>
        <w:spacing w:after="0"/>
        <w:ind w:left="1701" w:hanging="964"/>
      </w:pPr>
      <w:r w:rsidRPr="00B67AD5">
        <w:t>Část 2</w:t>
      </w:r>
      <w:r w:rsidRPr="00B67AD5">
        <w:tab/>
        <w:t>Požadavky na výkon a funkci</w:t>
      </w:r>
    </w:p>
    <w:p w14:paraId="326E3C95" w14:textId="56981131" w:rsidR="0035531B" w:rsidRPr="00B67AD5" w:rsidRDefault="009A3611" w:rsidP="00B966AA">
      <w:pPr>
        <w:pStyle w:val="Textbezslovn"/>
        <w:tabs>
          <w:tab w:val="left" w:pos="1701"/>
        </w:tabs>
        <w:ind w:left="1701" w:hanging="964"/>
      </w:pPr>
      <w:r w:rsidRPr="00B67AD5">
        <w:t>Část 3</w:t>
      </w:r>
      <w:r w:rsidRPr="00B67AD5">
        <w:tab/>
        <w:t>Komentář k požadavkům na výkon a funkci</w:t>
      </w:r>
      <w:r w:rsidR="0035531B" w:rsidRPr="00B67AD5">
        <w:t xml:space="preserve"> </w:t>
      </w:r>
    </w:p>
    <w:p w14:paraId="6C2A8BAA" w14:textId="227C70CB" w:rsidR="0035531B" w:rsidRDefault="00FD39DE" w:rsidP="00540444">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1332EF">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AACCCA" w:rsidR="0035531B" w:rsidRPr="008513D8" w:rsidRDefault="001332EF" w:rsidP="00FD39DE">
      <w:pPr>
        <w:pStyle w:val="Text1-1"/>
      </w:pPr>
      <w:r w:rsidRPr="00E753CB">
        <w:t xml:space="preserve">Zadavatel sděluje, že </w:t>
      </w:r>
      <w:r>
        <w:t>žádné</w:t>
      </w:r>
      <w:r w:rsidRPr="00E753CB">
        <w:t xml:space="preserve"> části zadávací dokumentace </w:t>
      </w:r>
      <w:r>
        <w:t>ne</w:t>
      </w:r>
      <w:r w:rsidRPr="00E753CB">
        <w:t>vypracovala osoba odlišná od zadavatele</w:t>
      </w:r>
      <w:r>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1B319AC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7014B0">
        <w:rPr>
          <w:b/>
        </w:rPr>
        <w:t xml:space="preserve">nejpozději </w:t>
      </w:r>
      <w:r w:rsidR="00B07880" w:rsidRPr="007014B0">
        <w:rPr>
          <w:b/>
        </w:rPr>
        <w:t>6 pracovních dnů</w:t>
      </w:r>
      <w:r w:rsidR="00B07880" w:rsidRPr="007014B0">
        <w:t xml:space="preserve"> </w:t>
      </w:r>
      <w:r w:rsidRPr="007014B0">
        <w:t>před uplynutím</w:t>
      </w:r>
      <w:r w:rsidRPr="00FD39DE">
        <w:t xml:space="preserve"> lhůty pro podání nabídek</w:t>
      </w:r>
      <w:r w:rsidR="00693188">
        <w:t>, jinak zadavatel není povinen vysvětlení poskytnout</w:t>
      </w:r>
      <w:r w:rsidRPr="00FD39DE">
        <w:t>.</w:t>
      </w:r>
    </w:p>
    <w:p w14:paraId="04E7F2E9" w14:textId="10E939E7" w:rsidR="0035531B" w:rsidRDefault="00FD39DE" w:rsidP="00FD39DE">
      <w:pPr>
        <w:pStyle w:val="Text1-1"/>
      </w:pPr>
      <w:r w:rsidRPr="00FD39DE">
        <w:t xml:space="preserve">Zadavatel poskytne vysvětlení zadávací dokumentace </w:t>
      </w:r>
      <w:r w:rsidRPr="007014B0">
        <w:t xml:space="preserve">nejpozději do </w:t>
      </w:r>
      <w:r w:rsidR="00B07880" w:rsidRPr="007014B0">
        <w:t xml:space="preserve">3 </w:t>
      </w:r>
      <w:r w:rsidRPr="007014B0">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014B0">
        <w:t xml:space="preserve">nejméně </w:t>
      </w:r>
      <w:r w:rsidR="00CE5F6A" w:rsidRPr="007014B0">
        <w:t xml:space="preserve">3 </w:t>
      </w:r>
      <w:r w:rsidR="00693188" w:rsidRPr="007014B0">
        <w:t>pracovní</w:t>
      </w:r>
      <w:r w:rsidR="00693188">
        <w:t xml:space="preserve"> dny před uplynutím lhůty pro podání nabídek.</w:t>
      </w:r>
    </w:p>
    <w:p w14:paraId="33849454" w14:textId="769FC610" w:rsidR="0035531B" w:rsidRDefault="00FD39DE" w:rsidP="007014B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40AB2">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82BDD91" w14:textId="237318C7" w:rsidR="00740AB2" w:rsidRDefault="00740AB2" w:rsidP="00D10A2D">
      <w:pPr>
        <w:pStyle w:val="Odrka1-2-"/>
      </w:pPr>
      <w:r>
        <w:t>Projektová činnost ve výstavbě</w:t>
      </w:r>
    </w:p>
    <w:p w14:paraId="623DE31E" w14:textId="7F700A97" w:rsidR="0035531B" w:rsidRPr="00C21FDC" w:rsidRDefault="0035531B" w:rsidP="00740AB2">
      <w:pPr>
        <w:pStyle w:val="Odrka1-2-"/>
        <w:spacing w:after="120"/>
      </w:pPr>
      <w:r w:rsidRPr="00C21FDC">
        <w:t>Provádění staveb, jejich změn</w:t>
      </w:r>
      <w:r w:rsidR="00845C50" w:rsidRPr="00C21FDC">
        <w:t xml:space="preserve"> a </w:t>
      </w:r>
      <w:r w:rsidR="00740AB2">
        <w:t>odstraňování</w:t>
      </w:r>
    </w:p>
    <w:p w14:paraId="03FF036D" w14:textId="77777777" w:rsidR="0035531B" w:rsidRDefault="0035531B" w:rsidP="00092CC9">
      <w:pPr>
        <w:pStyle w:val="Odrka1-1"/>
      </w:pPr>
      <w:r>
        <w:t>Odborná způsobilost:</w:t>
      </w:r>
    </w:p>
    <w:p w14:paraId="69330FA9" w14:textId="77777777" w:rsidR="00344A9C" w:rsidRPr="00277264"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277264">
        <w:t xml:space="preserve">písm. </w:t>
      </w:r>
    </w:p>
    <w:p w14:paraId="66ECC6E5" w14:textId="77777777" w:rsidR="00344A9C" w:rsidRPr="00277264" w:rsidRDefault="00344A9C" w:rsidP="00344A9C">
      <w:pPr>
        <w:pStyle w:val="Odrka1-1"/>
        <w:numPr>
          <w:ilvl w:val="0"/>
          <w:numId w:val="0"/>
        </w:numPr>
        <w:ind w:left="1190" w:firstLine="341"/>
        <w:rPr>
          <w:b/>
        </w:rPr>
      </w:pPr>
      <w:r w:rsidRPr="00277264">
        <w:rPr>
          <w:b/>
        </w:rPr>
        <w:t xml:space="preserve">b) </w:t>
      </w:r>
      <w:r w:rsidRPr="00277264">
        <w:t>dopravní stavby</w:t>
      </w:r>
    </w:p>
    <w:p w14:paraId="569C1790" w14:textId="77777777" w:rsidR="00344A9C" w:rsidRPr="00277264" w:rsidRDefault="00344A9C" w:rsidP="00344A9C">
      <w:pPr>
        <w:pStyle w:val="Odrka1-1"/>
        <w:numPr>
          <w:ilvl w:val="0"/>
          <w:numId w:val="0"/>
        </w:numPr>
        <w:ind w:left="1190" w:firstLine="341"/>
        <w:rPr>
          <w:b/>
        </w:rPr>
      </w:pPr>
      <w:r w:rsidRPr="00277264">
        <w:rPr>
          <w:b/>
        </w:rPr>
        <w:t xml:space="preserve">e) </w:t>
      </w:r>
      <w:r w:rsidRPr="00277264">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0F0BD7F" w14:textId="7B5B3D74" w:rsidR="00BC4D5B" w:rsidRDefault="00BC4D5B" w:rsidP="00CC4380">
      <w:pPr>
        <w:pStyle w:val="Odrka1-2-"/>
      </w:pPr>
      <w:r w:rsidRPr="002079D1">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3C69F4BC" w:rsidR="0035531B" w:rsidRPr="00CC4380" w:rsidRDefault="0035531B" w:rsidP="0035531B">
      <w:pPr>
        <w:pStyle w:val="Text1-1"/>
        <w:rPr>
          <w:rStyle w:val="Tun9b"/>
        </w:rPr>
      </w:pPr>
      <w:r w:rsidRPr="00CC4380">
        <w:rPr>
          <w:rStyle w:val="Tun9b"/>
        </w:rPr>
        <w:t xml:space="preserve">Technická kvalifikace – seznam </w:t>
      </w:r>
      <w:r w:rsidR="00BC30F5">
        <w:rPr>
          <w:rStyle w:val="Tun9b"/>
        </w:rPr>
        <w:t xml:space="preserve">významných služeb a </w:t>
      </w:r>
      <w:r w:rsidRPr="00CC4380">
        <w:rPr>
          <w:rStyle w:val="Tun9b"/>
        </w:rPr>
        <w:t>stavebních prací</w:t>
      </w:r>
    </w:p>
    <w:p w14:paraId="723D7B07" w14:textId="0246AFA7" w:rsidR="00096ED4" w:rsidRPr="00096ED4" w:rsidRDefault="006D5DF5" w:rsidP="006B54DD">
      <w:pPr>
        <w:pStyle w:val="Odrka1-1"/>
        <w:tabs>
          <w:tab w:val="clear" w:pos="1077"/>
        </w:tabs>
        <w:ind w:left="1134" w:hanging="425"/>
        <w:rPr>
          <w:b/>
        </w:rPr>
      </w:pPr>
      <w:r w:rsidRPr="00E00950">
        <w:t xml:space="preserve">Zadavatel požaduje předložení seznamu významných ukončených služeb obdobného charakteru poskytnutých dodavatelem v </w:t>
      </w:r>
      <w:r w:rsidRPr="00096ED4">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Pr="00E80EFA">
        <w:t>pro</w:t>
      </w:r>
      <w:r w:rsidRPr="00E00950">
        <w:t xml:space="preserve">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00096ED4" w:rsidRPr="00096ED4">
        <w:rPr>
          <w:b/>
        </w:rPr>
        <w:t xml:space="preserve">projektování přístřešků nebo zastřešení vč. </w:t>
      </w:r>
      <w:r w:rsidR="00096ED4" w:rsidRPr="00096ED4">
        <w:rPr>
          <w:rFonts w:eastAsia="Times New Roman" w:cs="Times New Roman"/>
          <w:b/>
          <w:lang w:eastAsia="cs-CZ"/>
        </w:rPr>
        <w:t>sdělovacího zařízení.</w:t>
      </w:r>
    </w:p>
    <w:p w14:paraId="00DE98E5" w14:textId="2FC31C4D" w:rsidR="006D5DF5" w:rsidRPr="00E00950" w:rsidRDefault="006D5DF5" w:rsidP="00096ED4">
      <w:pPr>
        <w:pStyle w:val="Odrka1-1"/>
        <w:numPr>
          <w:ilvl w:val="0"/>
          <w:numId w:val="0"/>
        </w:numPr>
        <w:ind w:left="1134"/>
      </w:pPr>
      <w:r w:rsidRPr="00E00950">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 zadavatel považuje rovněž provedení aktualizace projektové dokumentace ve stupni DSP nebo DUSP nebo DSP+PDPS nebo DUSP+PDPS</w:t>
      </w:r>
      <w:r w:rsidRPr="00E00950">
        <w:t>.</w:t>
      </w:r>
    </w:p>
    <w:p w14:paraId="769C32C6" w14:textId="2157E0E6" w:rsidR="006D5DF5" w:rsidRPr="002537CB" w:rsidRDefault="006D5DF5" w:rsidP="006D5DF5">
      <w:pPr>
        <w:pStyle w:val="Textbezslovn"/>
        <w:ind w:left="1134" w:hanging="425"/>
      </w:pPr>
      <w:r w:rsidRPr="00E00950">
        <w:tab/>
      </w: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001463DA" w:rsidRPr="0084633A">
        <w:rPr>
          <w:rFonts w:eastAsia="Times New Roman" w:cs="Times New Roman"/>
          <w:b/>
          <w:lang w:eastAsia="cs-CZ"/>
        </w:rPr>
        <w:t>alespoň 2 služby obdobného charakteru</w:t>
      </w:r>
      <w:r w:rsidR="001463DA" w:rsidRPr="0084633A">
        <w:rPr>
          <w:rFonts w:eastAsia="Times New Roman" w:cs="Times New Roman"/>
          <w:lang w:eastAsia="cs-CZ"/>
        </w:rPr>
        <w:t xml:space="preserve">, </w:t>
      </w:r>
      <w:r w:rsidR="001463DA" w:rsidRPr="0084633A">
        <w:t>v celkové hodnotě v součtu</w:t>
      </w:r>
      <w:r w:rsidR="001463DA" w:rsidRPr="0084633A">
        <w:rPr>
          <w:rFonts w:eastAsia="Times New Roman" w:cs="Times New Roman"/>
          <w:lang w:eastAsia="cs-CZ"/>
        </w:rPr>
        <w:t xml:space="preserve"> alespoň ve výši </w:t>
      </w:r>
      <w:r w:rsidR="001463DA">
        <w:rPr>
          <w:rFonts w:eastAsia="Times New Roman" w:cs="Times New Roman"/>
          <w:b/>
          <w:lang w:eastAsia="cs-CZ"/>
        </w:rPr>
        <w:t>500</w:t>
      </w:r>
      <w:r w:rsidR="001463DA" w:rsidRPr="0084633A">
        <w:rPr>
          <w:rFonts w:eastAsia="Times New Roman" w:cs="Times New Roman"/>
          <w:b/>
          <w:lang w:eastAsia="cs-CZ"/>
        </w:rPr>
        <w:t xml:space="preserve"> 000,- Kč </w:t>
      </w:r>
      <w:r w:rsidR="001463DA" w:rsidRPr="0084633A">
        <w:rPr>
          <w:rFonts w:eastAsia="Times New Roman" w:cs="Times New Roman"/>
          <w:lang w:eastAsia="cs-CZ"/>
        </w:rPr>
        <w:t xml:space="preserve">bez DPH, přičemž alespoň jedna významná služba musí dosahovat hodnoty nejméně </w:t>
      </w:r>
      <w:r w:rsidR="001463DA" w:rsidRPr="0084633A">
        <w:rPr>
          <w:rFonts w:eastAsia="Times New Roman" w:cs="Times New Roman"/>
          <w:b/>
          <w:lang w:eastAsia="cs-CZ"/>
        </w:rPr>
        <w:t xml:space="preserve">200 000,- Kč </w:t>
      </w:r>
      <w:r w:rsidR="001463DA" w:rsidRPr="0084633A">
        <w:rPr>
          <w:rFonts w:eastAsia="Times New Roman" w:cs="Times New Roman"/>
          <w:lang w:eastAsia="cs-CZ"/>
        </w:rPr>
        <w:t>bez DPH</w:t>
      </w:r>
      <w:r w:rsidRPr="005C26D0">
        <w:rPr>
          <w:rFonts w:eastAsia="Times New Roman" w:cs="Times New Roman"/>
          <w:lang w:eastAsia="cs-CZ"/>
        </w:rPr>
        <w:t xml:space="preserve">. </w:t>
      </w:r>
      <w:r w:rsidRPr="005C26D0">
        <w:t xml:space="preserve">Hodnotou služby se pro účely posouzení splnění kritérií technické kvalifikace rozumí cena, za kterou dodavatel provedl předmětné služby; tato cena nebude upravována o míru inflace </w:t>
      </w:r>
      <w:r w:rsidRPr="00F00A44">
        <w:t xml:space="preserve">tak, aby odpovídala současným hodnotám služeb. </w:t>
      </w:r>
      <w:r>
        <w:t>V případě dokumentací ve stupních DSP+PDPS nebo DUSP+PDPS lze jako cenu jedné významné služby doložit součet cen obou uvedených stupňů (tj. součet cen DSP+PDPS nebo DUSP+PDPS).</w:t>
      </w:r>
      <w:r w:rsidRPr="002537CB">
        <w:t xml:space="preserve"> </w:t>
      </w:r>
    </w:p>
    <w:p w14:paraId="6154CEDD" w14:textId="77777777" w:rsidR="006D5DF5" w:rsidRPr="0000237D" w:rsidRDefault="006D5DF5" w:rsidP="006D5DF5">
      <w:pPr>
        <w:pStyle w:val="Textbezslovn"/>
        <w:ind w:left="1134"/>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D90E01C" w14:textId="0B6D6753" w:rsidR="006D5DF5" w:rsidRPr="0000237D" w:rsidRDefault="006D5DF5" w:rsidP="006D5DF5">
      <w:pPr>
        <w:pStyle w:val="Textbezslovn"/>
        <w:ind w:left="1134"/>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rsidR="00315A18">
        <w:t>železničních drah</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09F25443" w14:textId="77777777" w:rsidR="006D5DF5" w:rsidRPr="0000237D" w:rsidRDefault="006D5DF5" w:rsidP="006D5DF5">
      <w:pPr>
        <w:pStyle w:val="Textbezslovn"/>
        <w:ind w:left="1134"/>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309749C2" w14:textId="77777777" w:rsidR="006D5DF5" w:rsidRPr="0000237D" w:rsidRDefault="006D5DF5" w:rsidP="006D5DF5">
      <w:pPr>
        <w:pStyle w:val="Textbezslovn"/>
        <w:ind w:left="1134"/>
      </w:pPr>
      <w:r w:rsidRPr="0000237D">
        <w:t>Dodavatel může použít k prokázání splnění kritéria kvalifikace týkajícího se požadavku na předložení seznamu referenčních zakázek i takové služby, které poskytl</w:t>
      </w:r>
    </w:p>
    <w:p w14:paraId="36F572E4" w14:textId="77777777" w:rsidR="006D5DF5" w:rsidRPr="0000237D" w:rsidRDefault="006D5DF5" w:rsidP="00D12B1F">
      <w:pPr>
        <w:pStyle w:val="Odstavec1-1a"/>
        <w:numPr>
          <w:ilvl w:val="0"/>
          <w:numId w:val="17"/>
        </w:numPr>
        <w:ind w:left="1134" w:firstLine="0"/>
      </w:pPr>
      <w:r w:rsidRPr="0000237D">
        <w:t>společně s jinými dodavateli, a to v rozsahu, v jakém se na plnění zakázky podílel, nebo</w:t>
      </w:r>
    </w:p>
    <w:p w14:paraId="01455F63" w14:textId="77777777" w:rsidR="006D5DF5" w:rsidRPr="0000237D" w:rsidRDefault="006D5DF5" w:rsidP="00D12B1F">
      <w:pPr>
        <w:pStyle w:val="Odstavec1-1a"/>
        <w:numPr>
          <w:ilvl w:val="0"/>
          <w:numId w:val="17"/>
        </w:numPr>
        <w:ind w:left="1134" w:firstLine="0"/>
      </w:pPr>
      <w:r w:rsidRPr="0000237D">
        <w:t>jako poddodavatel, a to v rozsahu, v jakém se na plnění zakázky podílel.</w:t>
      </w:r>
    </w:p>
    <w:p w14:paraId="5D69022D" w14:textId="77777777" w:rsidR="006D5DF5" w:rsidRDefault="006D5DF5" w:rsidP="006D5DF5">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76F10A8" w14:textId="20854E72" w:rsidR="006D5DF5" w:rsidRDefault="006D5DF5" w:rsidP="00D46655">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6E15EFAA" w:rsidR="00F95A2C" w:rsidRDefault="00F95A2C" w:rsidP="00D12B1F">
      <w:pPr>
        <w:pStyle w:val="Textbezslovn"/>
        <w:numPr>
          <w:ilvl w:val="0"/>
          <w:numId w:val="18"/>
        </w:numPr>
        <w:ind w:left="1134" w:hanging="425"/>
      </w:pPr>
      <w:r>
        <w:t xml:space="preserve">Zadavatel požaduje předložení </w:t>
      </w:r>
      <w:r w:rsidRPr="00FA60B5">
        <w:rPr>
          <w:b/>
        </w:rPr>
        <w:t>seznamu</w:t>
      </w:r>
      <w:r>
        <w:t xml:space="preserve"> stavebních prací </w:t>
      </w:r>
      <w:r w:rsidR="00F6113F">
        <w:t>spočívajících v provedení novostavby</w:t>
      </w:r>
      <w:r w:rsidR="00FA60B5">
        <w:t xml:space="preserve"> nebo</w:t>
      </w:r>
      <w:r w:rsidR="00F6113F">
        <w:t xml:space="preserve"> rekonstrukce</w:t>
      </w:r>
      <w:r w:rsidR="00BC12B5">
        <w:t xml:space="preserve"> </w:t>
      </w:r>
      <w:r>
        <w:t xml:space="preserve">na </w:t>
      </w:r>
      <w:r w:rsidRPr="00FA60B5">
        <w:t>stavbách železničních drah, jak jsou vymezeny v § 5 odst. 1 a v § 3 odst. 1</w:t>
      </w:r>
      <w:r w:rsidR="00FA60B5" w:rsidRPr="00FA60B5">
        <w:t xml:space="preserve"> </w:t>
      </w:r>
      <w:r w:rsidRPr="00FA60B5">
        <w:t xml:space="preserve">zákona č. 266/1994 Sb., o dráhách, ve znění pozdějších předpisů, </w:t>
      </w:r>
      <w:r w:rsidR="00373447" w:rsidRPr="00FA60B5">
        <w:t xml:space="preserve">poskytnutých dodavatelem </w:t>
      </w:r>
      <w:r w:rsidRPr="00FA60B5">
        <w:t>za posledních 5 let před zahájením</w:t>
      </w:r>
      <w:r>
        <w:t xml:space="preserve"> výběrového řízení (dále jako „</w:t>
      </w:r>
      <w:r w:rsidRPr="00FA60B5">
        <w:rPr>
          <w:b/>
        </w:rPr>
        <w:t>stavební práce</w:t>
      </w:r>
      <w:r>
        <w:t xml:space="preserve">“). </w:t>
      </w:r>
    </w:p>
    <w:p w14:paraId="234A1F48" w14:textId="77777777" w:rsidR="00B54465" w:rsidRDefault="00F95A2C" w:rsidP="00B54465">
      <w:pPr>
        <w:pStyle w:val="Textbezslovn"/>
        <w:ind w:left="1134"/>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B54465">
        <w:t>posledních 5 letech před zahájením</w:t>
      </w:r>
      <w:r>
        <w:t xml:space="preserve"> výběrového řízení řádně poskytl a dokončil</w:t>
      </w:r>
      <w:r w:rsidR="00B54465">
        <w:t>:</w:t>
      </w:r>
    </w:p>
    <w:p w14:paraId="3D4CF4EA" w14:textId="2662A49A" w:rsidR="00F95A2C" w:rsidRDefault="00B54465" w:rsidP="00D12B1F">
      <w:pPr>
        <w:pStyle w:val="Textbezslovn"/>
        <w:numPr>
          <w:ilvl w:val="0"/>
          <w:numId w:val="19"/>
        </w:numPr>
        <w:ind w:left="1134" w:hanging="284"/>
      </w:pPr>
      <w:r>
        <w:t>alespoň jednu stavební práci</w:t>
      </w:r>
      <w:r w:rsidR="00F95A2C">
        <w:t xml:space="preserve"> </w:t>
      </w:r>
      <w:r w:rsidRPr="00620E4A">
        <w:t xml:space="preserve">spočívající v provedení novostavby nebo rekonstrukce na </w:t>
      </w:r>
      <w:r w:rsidRPr="00E80EFA">
        <w:t xml:space="preserve">stavbách </w:t>
      </w:r>
      <w:r>
        <w:t>železničních drah</w:t>
      </w:r>
      <w:r w:rsidRPr="00E80EFA">
        <w:t xml:space="preserve">, </w:t>
      </w:r>
      <w:r>
        <w:t xml:space="preserve">jejíž </w:t>
      </w:r>
      <w:r w:rsidRPr="00E80EFA">
        <w:t xml:space="preserve">součástí bylo zřízení </w:t>
      </w:r>
      <w:r>
        <w:t>přístřešku/</w:t>
      </w:r>
      <w:r w:rsidRPr="00E80EFA">
        <w:t xml:space="preserve">přístřešků </w:t>
      </w:r>
      <w:r>
        <w:t>nebo zastřešení v</w:t>
      </w:r>
      <w:r w:rsidRPr="00E80EFA">
        <w:t xml:space="preserve">četně elektronického informačního a kamerového systému, v hodnotě nejméně </w:t>
      </w:r>
      <w:r w:rsidRPr="00B54465">
        <w:rPr>
          <w:b/>
        </w:rPr>
        <w:t>1 000 000,- Kč</w:t>
      </w:r>
      <w:r w:rsidRPr="00E80EFA">
        <w:t xml:space="preserve"> bez DPH (uvedená částka se </w:t>
      </w:r>
      <w:r w:rsidRPr="00620E4A">
        <w:t>vztahuje k hodnotě zřízení přístřešku</w:t>
      </w:r>
      <w:r>
        <w:t>/přístřešků nebo zastřešení</w:t>
      </w:r>
      <w:r w:rsidRPr="00620E4A">
        <w:t xml:space="preserve"> </w:t>
      </w:r>
      <w:r w:rsidRPr="00E80EFA">
        <w:t>včetně elektronického informačního a kamerového systému</w:t>
      </w:r>
      <w:r w:rsidRPr="00620E4A">
        <w:t>)</w:t>
      </w:r>
      <w:r>
        <w:t xml:space="preserve">. </w:t>
      </w:r>
      <w:r w:rsidR="005E33AB" w:rsidRPr="00930B76">
        <w:t>Ho</w:t>
      </w:r>
      <w:r w:rsidR="005E33AB">
        <w:t xml:space="preserve">dnotou stavebních prací se </w:t>
      </w:r>
      <w:r w:rsidR="005E33AB" w:rsidRPr="00B54465">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B54465">
      <w:pPr>
        <w:pStyle w:val="Textbezslovn"/>
        <w:ind w:left="1134"/>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B54465">
      <w:pPr>
        <w:pStyle w:val="Textbezslovn"/>
        <w:ind w:left="1077"/>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6B54DD">
      <w:pPr>
        <w:pStyle w:val="Odrka1-2-"/>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E25CC16" w:rsidR="002A1957" w:rsidRPr="00BE414F" w:rsidRDefault="00B54465" w:rsidP="006B54DD">
      <w:pPr>
        <w:pStyle w:val="Odrka1-2-"/>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B5446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B54465" w:rsidRDefault="00F95A2C" w:rsidP="00B54465">
      <w:pPr>
        <w:pStyle w:val="Textbezslovn"/>
        <w:ind w:left="1077"/>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B54465">
        <w:t>Správa železni</w:t>
      </w:r>
      <w:r w:rsidR="00B277ED" w:rsidRPr="00B54465">
        <w:t>c</w:t>
      </w:r>
      <w:r w:rsidRPr="00B54465">
        <w:t>, státní organizace</w:t>
      </w:r>
      <w:r w:rsidR="0035531B" w:rsidRPr="00B54465">
        <w:t>.</w:t>
      </w:r>
    </w:p>
    <w:p w14:paraId="4375AA74" w14:textId="5B0EE404" w:rsidR="00AF4A09" w:rsidRDefault="00AF4A09" w:rsidP="00B54465">
      <w:pPr>
        <w:pStyle w:val="Textbezslovn"/>
        <w:ind w:left="1077"/>
      </w:pPr>
      <w:r w:rsidRPr="00B54465">
        <w:t xml:space="preserve">Doba </w:t>
      </w:r>
      <w:r w:rsidR="0087311C" w:rsidRPr="00B54465">
        <w:t xml:space="preserve">posledních </w:t>
      </w:r>
      <w:r w:rsidRPr="00B54465">
        <w:t xml:space="preserve">5 let </w:t>
      </w:r>
      <w:r w:rsidR="0087311C" w:rsidRPr="00B54465">
        <w:t xml:space="preserve">před zahájením výběrového řízení </w:t>
      </w:r>
      <w:r w:rsidRPr="00B54465">
        <w:t xml:space="preserve">se </w:t>
      </w:r>
      <w:r w:rsidR="0087311C" w:rsidRPr="00B54465">
        <w:t xml:space="preserve">pro účely prokázání technické kvalifikace ohledně referenčních zakázek </w:t>
      </w:r>
      <w:r w:rsidRPr="00B54465">
        <w:t xml:space="preserve">považuje za splněnou, pokud byly stavební práce </w:t>
      </w:r>
      <w:r w:rsidR="0087311C" w:rsidRPr="00B54465">
        <w:t xml:space="preserve">dokončeny </w:t>
      </w:r>
      <w:r w:rsidRPr="00B54465">
        <w:t>v průběhu této doby</w:t>
      </w:r>
      <w:r w:rsidR="0087311C" w:rsidRPr="00B54465">
        <w:t xml:space="preserve"> nebo kdykoli po zahájení výběrového řízení, včetně doby po podání nabídek, a to nejpozději do doby zadavatelem případně stanovené k předložení údajů a dokladů dle bodu 16.3 této Výzvy. P</w:t>
      </w:r>
      <w:r w:rsidRPr="00B5446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B54465">
        <w:t xml:space="preserve">pro účely prokázání technické kvalifikace v tomto výběrovém řízení </w:t>
      </w:r>
      <w:r w:rsidRPr="00B54465">
        <w:t xml:space="preserve">rozumí </w:t>
      </w:r>
      <w:r w:rsidR="000E15C8" w:rsidRPr="00B54465">
        <w:t xml:space="preserve">i </w:t>
      </w:r>
      <w:r w:rsidRPr="00B54465">
        <w:t>uvedení díla</w:t>
      </w:r>
      <w:r w:rsidR="000E15C8" w:rsidRPr="00B54465">
        <w:t>, resp. poslední části</w:t>
      </w:r>
      <w:r w:rsidR="00560665" w:rsidRPr="00B54465">
        <w:t xml:space="preserve"> stavební práce</w:t>
      </w:r>
      <w:r w:rsidR="000E15C8" w:rsidRPr="00B54465">
        <w:t>,</w:t>
      </w:r>
      <w:r w:rsidRPr="00B54465">
        <w:t xml:space="preserve">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B54465">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B5446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B54465">
      <w:pPr>
        <w:pStyle w:val="Textbezslovn"/>
        <w:ind w:left="1418" w:hanging="284"/>
      </w:pPr>
      <w:r>
        <w:t>a)</w:t>
      </w:r>
      <w:r>
        <w:tab/>
        <w:t>společně s jinými dodavateli, a to v rozsahu, v jakém se na plnění zakázky podílel, nebo</w:t>
      </w:r>
    </w:p>
    <w:p w14:paraId="21A5863E" w14:textId="77777777" w:rsidR="00AF4A09" w:rsidRDefault="00AF4A09" w:rsidP="00B54465">
      <w:pPr>
        <w:pStyle w:val="Textbezslovn"/>
        <w:ind w:firstLine="397"/>
      </w:pPr>
      <w:r>
        <w:t>b)</w:t>
      </w:r>
      <w:r>
        <w:tab/>
        <w:t>jako poddodavatel, a to v rozsahu, v jakém se na plnění zakázky podílel.</w:t>
      </w:r>
    </w:p>
    <w:p w14:paraId="661BB98F" w14:textId="77777777" w:rsidR="004E7107" w:rsidRDefault="004E7107" w:rsidP="00B54465">
      <w:pPr>
        <w:pStyle w:val="Textbezslovn"/>
        <w:ind w:left="1134"/>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B54465">
      <w:pPr>
        <w:pStyle w:val="Textbezslovn"/>
        <w:ind w:left="1134"/>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B54465">
      <w:pPr>
        <w:pStyle w:val="Textbezslovn"/>
        <w:ind w:left="1134"/>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B54465">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CD1D3A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E7A71EE" w14:textId="77777777" w:rsidR="00C21FCD" w:rsidRPr="00200526" w:rsidRDefault="00C21FCD" w:rsidP="00D12B1F">
      <w:pPr>
        <w:pStyle w:val="Textbezslovn"/>
        <w:numPr>
          <w:ilvl w:val="0"/>
          <w:numId w:val="20"/>
        </w:numPr>
      </w:pPr>
      <w:r w:rsidRPr="00200526">
        <w:rPr>
          <w:b/>
        </w:rPr>
        <w:t>specialista pro projektovou dokumentaci</w:t>
      </w:r>
    </w:p>
    <w:p w14:paraId="5D903A4E" w14:textId="0D0DB1AC" w:rsidR="00C21FCD" w:rsidRPr="004F73F9" w:rsidRDefault="00C21FCD" w:rsidP="00C21FCD">
      <w:pPr>
        <w:pStyle w:val="Odrka1-2-"/>
      </w:pPr>
      <w:r w:rsidRPr="004F73F9">
        <w:t xml:space="preserve">nejméně 5 let praxe v projektování sdělovacího zařízení staveb </w:t>
      </w:r>
      <w:r w:rsidR="00315A18">
        <w:t>železničních drah</w:t>
      </w:r>
      <w:r w:rsidRPr="004F73F9">
        <w:t>;</w:t>
      </w:r>
    </w:p>
    <w:p w14:paraId="0119A552" w14:textId="7514015A" w:rsidR="00C21FCD" w:rsidRDefault="00C21FCD" w:rsidP="00C21FCD">
      <w:pPr>
        <w:pStyle w:val="Odrka1-2-"/>
      </w:pPr>
      <w:r w:rsidRPr="004F73F9">
        <w:t xml:space="preserve">zkušenost s projektováním alespoň jedné zakázky na projektové práce </w:t>
      </w:r>
      <w:r w:rsidR="00750128">
        <w:t xml:space="preserve">na stavbách železničních drah </w:t>
      </w:r>
      <w:r w:rsidRPr="004F73F9">
        <w:t xml:space="preserve">ve stupni DSP nebo DUSP nebo DSP+PDPS nebo DUSP+PDPS, která obsahovala mimo jiné alespoň následující činnosti: projektování </w:t>
      </w:r>
      <w:r>
        <w:t>přístřešku/</w:t>
      </w:r>
      <w:r w:rsidRPr="004F73F9">
        <w:t>přístřešků nebo zastřešení vč.</w:t>
      </w:r>
      <w:r w:rsidRPr="004F73F9">
        <w:rPr>
          <w:rFonts w:eastAsia="Times New Roman" w:cs="Times New Roman"/>
          <w:lang w:eastAsia="cs-CZ"/>
        </w:rPr>
        <w:t xml:space="preserve"> sdělovacího zařízení</w:t>
      </w:r>
      <w:r w:rsidRPr="004F73F9">
        <w:t xml:space="preserve">, </w:t>
      </w:r>
      <w:r w:rsidRPr="004F73F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4F73F9">
        <w:t xml:space="preserve">; </w:t>
      </w:r>
    </w:p>
    <w:p w14:paraId="731ADC12" w14:textId="1107DA2C" w:rsidR="00C21FCD" w:rsidRPr="00F427E8" w:rsidRDefault="00C21FCD" w:rsidP="00C21FCD">
      <w:pPr>
        <w:pStyle w:val="Odrka1-2-"/>
        <w:rPr>
          <w:rStyle w:val="Tun9b"/>
          <w:b w:val="0"/>
        </w:rPr>
      </w:pPr>
      <w:r w:rsidRPr="004F73F9">
        <w:t xml:space="preserve">doklad o autorizaci v rozsahu dle § 5 odst. 3 písm. e) zák. č. 360/1992 Sb., o výkonu povolání autorizovaných architektů a o výkonu povolání autorizovaných </w:t>
      </w:r>
      <w:r w:rsidRPr="00F427E8">
        <w:t>inženýrů a techniků činných ve výstavbě, ve znění pozdějších předpisů (dále jen „autorizační zákon“), tedy v oboru v oboru technologická zařízení staveb;</w:t>
      </w:r>
    </w:p>
    <w:p w14:paraId="044069D6" w14:textId="43BADF71" w:rsidR="0035531B" w:rsidRPr="00F427E8" w:rsidRDefault="0035531B" w:rsidP="007E2072">
      <w:pPr>
        <w:pStyle w:val="Odstavec1-1a"/>
        <w:rPr>
          <w:rStyle w:val="Tun9b"/>
        </w:rPr>
      </w:pPr>
      <w:r w:rsidRPr="00F427E8">
        <w:rPr>
          <w:rStyle w:val="Tun9b"/>
        </w:rPr>
        <w:t>stavbyvedoucí</w:t>
      </w:r>
    </w:p>
    <w:p w14:paraId="5D013D3E" w14:textId="77777777" w:rsidR="0035531B" w:rsidRPr="00F427E8" w:rsidRDefault="0035531B" w:rsidP="00930B79">
      <w:pPr>
        <w:pStyle w:val="Odrka1-2-"/>
      </w:pPr>
      <w:r w:rsidRPr="00F427E8">
        <w:t>nejméně 5 let praxe</w:t>
      </w:r>
      <w:r w:rsidR="00092CC9" w:rsidRPr="00F427E8">
        <w:t xml:space="preserve"> v </w:t>
      </w:r>
      <w:r w:rsidRPr="00F427E8">
        <w:t xml:space="preserve">řízení provádění staveb železničních drah; </w:t>
      </w:r>
    </w:p>
    <w:p w14:paraId="13976A36" w14:textId="4A89F24B" w:rsidR="0035531B" w:rsidRPr="000A3F8C" w:rsidRDefault="00AF4A09" w:rsidP="00AF4A09">
      <w:pPr>
        <w:pStyle w:val="Odrka1-2-"/>
      </w:pPr>
      <w:r w:rsidRPr="00F427E8">
        <w:t xml:space="preserve">zkušenost s řízením realizace alespoň jedné zakázky </w:t>
      </w:r>
      <w:r w:rsidR="00642162" w:rsidRPr="00F427E8">
        <w:t>na stavební p</w:t>
      </w:r>
      <w:r w:rsidR="00F427E8" w:rsidRPr="00F427E8">
        <w:t>ráce, jež zahrnovala novostavbu nebo</w:t>
      </w:r>
      <w:r w:rsidR="00642162" w:rsidRPr="00F427E8">
        <w:t xml:space="preserve"> rekonstrukci </w:t>
      </w:r>
      <w:r w:rsidRPr="00F427E8">
        <w:t>stavby železničních drah</w:t>
      </w:r>
      <w:r w:rsidR="00F427E8" w:rsidRPr="00F427E8">
        <w:t xml:space="preserve">, jejíž součástí bylo zřízení přístřešku/přístřešků nebo zastřešení včetně elektronického informačního a kamerového systému, v hodnotě nejméně </w:t>
      </w:r>
      <w:r w:rsidR="00F427E8" w:rsidRPr="00F427E8">
        <w:rPr>
          <w:b/>
        </w:rPr>
        <w:t>1 000 000,- Kč</w:t>
      </w:r>
      <w:r w:rsidR="00F427E8" w:rsidRPr="00F427E8">
        <w:t xml:space="preserve"> bez DPH (uvedená částka se vztahuje k hodnotě zřízení přístřešku/přístřešků nebo zastřešení včetně elektronického informačního a </w:t>
      </w:r>
      <w:r w:rsidR="00F427E8" w:rsidRPr="000A3F8C">
        <w:t>kamerového systému), a to v posledních 10 letech před zahájením výběrového řízení;</w:t>
      </w:r>
    </w:p>
    <w:p w14:paraId="32D268AB" w14:textId="7F40435F" w:rsidR="0035531B" w:rsidRPr="009A1CBC" w:rsidRDefault="0035531B" w:rsidP="00AD1771">
      <w:pPr>
        <w:pStyle w:val="Odrka1-2-"/>
      </w:pPr>
      <w:r w:rsidRPr="000A3F8C">
        <w:t>musí předložit doklad</w:t>
      </w:r>
      <w:r w:rsidR="00092CC9" w:rsidRPr="000A3F8C">
        <w:t xml:space="preserve"> o </w:t>
      </w:r>
      <w:r w:rsidRPr="000A3F8C">
        <w:t>autorizaci</w:t>
      </w:r>
      <w:r w:rsidR="00092CC9" w:rsidRPr="000A3F8C">
        <w:t xml:space="preserve"> v </w:t>
      </w:r>
      <w:r w:rsidRPr="000A3F8C">
        <w:t xml:space="preserve">rozsahu dle § 5 odst. 3 písm. b) </w:t>
      </w:r>
      <w:r w:rsidR="007476A8" w:rsidRPr="009A1CBC">
        <w:t xml:space="preserve">autorizačního </w:t>
      </w:r>
      <w:r w:rsidRPr="009A1CBC">
        <w:t>zákona, tedy</w:t>
      </w:r>
      <w:r w:rsidR="00092CC9" w:rsidRPr="009A1CBC">
        <w:t xml:space="preserve"> v </w:t>
      </w:r>
      <w:r w:rsidRPr="009A1CBC">
        <w:t>oboru dopravní stavby;</w:t>
      </w:r>
    </w:p>
    <w:p w14:paraId="4B856CAB" w14:textId="235679C0" w:rsidR="0035531B" w:rsidRPr="009A1CBC" w:rsidRDefault="0035531B" w:rsidP="008B2021">
      <w:pPr>
        <w:pStyle w:val="Odstavec1-1a"/>
        <w:rPr>
          <w:rStyle w:val="Tun9b"/>
        </w:rPr>
      </w:pPr>
      <w:r w:rsidRPr="009A1CBC">
        <w:rPr>
          <w:rStyle w:val="Tun9b"/>
        </w:rPr>
        <w:t xml:space="preserve">specialista (vedoucí prací) na </w:t>
      </w:r>
      <w:r w:rsidR="00AF4A09" w:rsidRPr="009A1CBC">
        <w:rPr>
          <w:rStyle w:val="Tun9b"/>
        </w:rPr>
        <w:t xml:space="preserve">sdělovací </w:t>
      </w:r>
      <w:r w:rsidRPr="009A1CBC">
        <w:rPr>
          <w:rStyle w:val="Tun9b"/>
        </w:rPr>
        <w:t>zařízení</w:t>
      </w:r>
    </w:p>
    <w:p w14:paraId="0D24011D" w14:textId="590A190E" w:rsidR="0035531B" w:rsidRPr="009A1CBC" w:rsidRDefault="0035531B" w:rsidP="008B2021">
      <w:pPr>
        <w:pStyle w:val="Odrka1-2-"/>
      </w:pPr>
      <w:r w:rsidRPr="009A1CBC">
        <w:t>nejméně 5 let praxe</w:t>
      </w:r>
      <w:r w:rsidR="00092CC9" w:rsidRPr="009A1CBC">
        <w:t xml:space="preserve"> v </w:t>
      </w:r>
      <w:r w:rsidRPr="009A1CBC">
        <w:t xml:space="preserve">oboru své specializace </w:t>
      </w:r>
      <w:r w:rsidR="00B07880" w:rsidRPr="009A1CBC">
        <w:t xml:space="preserve">(sdělovací zařízení) </w:t>
      </w:r>
      <w:r w:rsidRPr="009A1CBC">
        <w:t>při provádění staveb;</w:t>
      </w:r>
    </w:p>
    <w:p w14:paraId="394B6F75" w14:textId="310F8068" w:rsidR="0035531B" w:rsidRPr="007C0613" w:rsidRDefault="0035531B" w:rsidP="008B2021">
      <w:pPr>
        <w:pStyle w:val="Odrka1-2-"/>
      </w:pPr>
      <w:r w:rsidRPr="009A1CBC">
        <w:t>musí předložit doklad</w:t>
      </w:r>
      <w:r w:rsidR="00092CC9" w:rsidRPr="009A1CBC">
        <w:t xml:space="preserve"> o </w:t>
      </w:r>
      <w:r w:rsidRPr="009A1CBC">
        <w:t>autorizaci</w:t>
      </w:r>
      <w:r w:rsidR="00092CC9" w:rsidRPr="009A1CBC">
        <w:t xml:space="preserve"> v </w:t>
      </w:r>
      <w:r w:rsidRPr="009A1CBC">
        <w:t>rozsahu dle § 5 odst. 3</w:t>
      </w:r>
      <w:r w:rsidR="009A1CBC" w:rsidRPr="009A1CBC">
        <w:t xml:space="preserve"> písm. e) </w:t>
      </w:r>
      <w:r w:rsidR="009A1CBC" w:rsidRPr="007C0613">
        <w:t>a</w:t>
      </w:r>
      <w:r w:rsidRPr="007C0613">
        <w:t>utorizačního zákona, tedy</w:t>
      </w:r>
      <w:r w:rsidR="00092CC9" w:rsidRPr="007C0613">
        <w:t xml:space="preserve"> v </w:t>
      </w:r>
      <w:r w:rsidRPr="007C0613">
        <w:t>oboru technologická zařízení staveb;</w:t>
      </w:r>
    </w:p>
    <w:p w14:paraId="1DFF9EA4" w14:textId="3F48853F" w:rsidR="0035531B" w:rsidRPr="007C0613" w:rsidRDefault="0035531B" w:rsidP="008B2021">
      <w:pPr>
        <w:pStyle w:val="Odstavec1-1a"/>
        <w:rPr>
          <w:rStyle w:val="Tun9b"/>
        </w:rPr>
      </w:pPr>
      <w:r w:rsidRPr="007C0613">
        <w:rPr>
          <w:rStyle w:val="Tun9b"/>
        </w:rPr>
        <w:t xml:space="preserve">specialista (vedoucí prací) na </w:t>
      </w:r>
      <w:r w:rsidR="00AF4A09" w:rsidRPr="007C0613">
        <w:rPr>
          <w:rStyle w:val="Tun9b"/>
        </w:rPr>
        <w:t>silnoproud</w:t>
      </w:r>
      <w:r w:rsidRPr="007C0613">
        <w:rPr>
          <w:rStyle w:val="Tun9b"/>
        </w:rPr>
        <w:t xml:space="preserve"> </w:t>
      </w:r>
    </w:p>
    <w:p w14:paraId="2BCC9219" w14:textId="63D007B6" w:rsidR="0035531B" w:rsidRPr="007C0613" w:rsidRDefault="0035531B" w:rsidP="008B2021">
      <w:pPr>
        <w:pStyle w:val="Odrka1-2-"/>
      </w:pPr>
      <w:r w:rsidRPr="007C0613">
        <w:t>nejméně 5 let praxe</w:t>
      </w:r>
      <w:r w:rsidR="00092CC9" w:rsidRPr="007C0613">
        <w:t xml:space="preserve"> v </w:t>
      </w:r>
      <w:r w:rsidRPr="007C0613">
        <w:t xml:space="preserve">oboru své specializace </w:t>
      </w:r>
      <w:r w:rsidR="007C0613" w:rsidRPr="007C0613">
        <w:t>(</w:t>
      </w:r>
      <w:r w:rsidR="00B07880" w:rsidRPr="007C0613">
        <w:t xml:space="preserve">silnoproud) </w:t>
      </w:r>
      <w:r w:rsidRPr="007C0613">
        <w:t>při provádění staveb;</w:t>
      </w:r>
    </w:p>
    <w:p w14:paraId="620D9907" w14:textId="66C0002C" w:rsidR="0035531B" w:rsidRPr="00890596" w:rsidRDefault="0035531B" w:rsidP="008B2021">
      <w:pPr>
        <w:pStyle w:val="Odrka1-2-"/>
      </w:pPr>
      <w:r w:rsidRPr="007C0613">
        <w:t>musí předložit doklad</w:t>
      </w:r>
      <w:r w:rsidR="00092CC9" w:rsidRPr="007C0613">
        <w:t xml:space="preserve"> o </w:t>
      </w:r>
      <w:r w:rsidRPr="007C0613">
        <w:t>autorizaci</w:t>
      </w:r>
      <w:r w:rsidR="00092CC9" w:rsidRPr="007C0613">
        <w:t xml:space="preserve"> v </w:t>
      </w:r>
      <w:r w:rsidRPr="007C0613">
        <w:t xml:space="preserve">rozsahu dle § 5 odst. 3 písm. e) </w:t>
      </w:r>
      <w:r w:rsidRPr="00890596">
        <w:t>autorizačního zákona, tedy</w:t>
      </w:r>
      <w:r w:rsidR="00092CC9" w:rsidRPr="00890596">
        <w:t xml:space="preserve"> v </w:t>
      </w:r>
      <w:r w:rsidRPr="00890596">
        <w:t>oboru technologická zařízení staveb;</w:t>
      </w:r>
    </w:p>
    <w:p w14:paraId="1DAEE537" w14:textId="77777777" w:rsidR="006A54CB" w:rsidRPr="00890596" w:rsidRDefault="006A54CB" w:rsidP="006A54CB">
      <w:pPr>
        <w:pStyle w:val="Odstavec1-1a"/>
        <w:rPr>
          <w:rStyle w:val="Tun9b"/>
        </w:rPr>
      </w:pPr>
      <w:r w:rsidRPr="00890596">
        <w:rPr>
          <w:rStyle w:val="Tun9b"/>
        </w:rPr>
        <w:t>osoba odpovědná za bezpečnost a ochranu zdraví při práci</w:t>
      </w:r>
    </w:p>
    <w:p w14:paraId="599C3E54" w14:textId="68B737BD" w:rsidR="006A54CB" w:rsidRDefault="006A54CB" w:rsidP="006A54CB">
      <w:pPr>
        <w:pStyle w:val="Odrka1-2-"/>
      </w:pPr>
      <w:r w:rsidRPr="00890596">
        <w:t>nejméně 5 let praxe v oboru bezpečnosti a ochrany zdraví při práci;</w:t>
      </w:r>
    </w:p>
    <w:p w14:paraId="193BD0C0" w14:textId="3320E02C" w:rsidR="006A54CB" w:rsidRDefault="006A54CB" w:rsidP="006A54CB">
      <w:pPr>
        <w:pStyle w:val="Odrka1-2-"/>
        <w:rPr>
          <w:rStyle w:val="Tun9b"/>
        </w:rPr>
      </w:pPr>
      <w:r w:rsidRPr="00890596">
        <w:t xml:space="preserve">musí předložit osvědčení odborné způsobilosti osoby k zajišťování úkolů v prevenci rizik podle § 10 odst. 1 zákona č.309/2006 Sb., o zajištění dalších podmínek bezpečnosti a ochrany zdraví při práci, ve znění pozdějších předpisů </w:t>
      </w:r>
      <w:r w:rsidRPr="00251A5B">
        <w:t>a dle § 6, 7 a 8 Nařízení vlády č.592/2006 Sb., v platném znění;</w:t>
      </w:r>
    </w:p>
    <w:p w14:paraId="423DBD67" w14:textId="6FFDD641" w:rsidR="0035531B" w:rsidRPr="00890596" w:rsidRDefault="0035531B" w:rsidP="008B2021">
      <w:pPr>
        <w:pStyle w:val="Odstavec1-1a"/>
        <w:rPr>
          <w:rStyle w:val="Tun9b"/>
        </w:rPr>
      </w:pPr>
      <w:r w:rsidRPr="00890596">
        <w:rPr>
          <w:rStyle w:val="Tun9b"/>
        </w:rPr>
        <w:t xml:space="preserve">osoba odpovědná za </w:t>
      </w:r>
      <w:r w:rsidR="006A54CB">
        <w:rPr>
          <w:rStyle w:val="Tun9b"/>
        </w:rPr>
        <w:t>realizační dokumentaci sdělovacího zařízení</w:t>
      </w:r>
    </w:p>
    <w:p w14:paraId="7792C9B7" w14:textId="4AC80EB0" w:rsidR="0035531B" w:rsidRPr="00251A5B" w:rsidRDefault="006A54CB" w:rsidP="006A54CB">
      <w:pPr>
        <w:pStyle w:val="Odrka1-2-"/>
      </w:pPr>
      <w:r w:rsidRPr="00251A5B">
        <w:t>nejméně 5 let praxe v oboru své specializace (sdělovací zařízení);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5384062E" w:rsidR="0035531B" w:rsidRDefault="0035531B" w:rsidP="008B2021">
      <w:pPr>
        <w:pStyle w:val="Textbezslovn"/>
      </w:pPr>
      <w:r w:rsidRPr="008B2021">
        <w:rPr>
          <w:rStyle w:val="Tun9b"/>
        </w:rPr>
        <w:t>Zadavatel uzná pouze takovou zkušenost člena odborného personálu</w:t>
      </w:r>
      <w:r w:rsidR="00A1096E">
        <w:rPr>
          <w:rStyle w:val="Tun9b"/>
        </w:rPr>
        <w:t xml:space="preserve"> </w:t>
      </w:r>
      <w:r w:rsidR="00A1096E" w:rsidRPr="00C311A1">
        <w:rPr>
          <w:rStyle w:val="Tun9b"/>
        </w:rPr>
        <w:t>(s výjimkou specialisty pro projektovou dokumentaci</w:t>
      </w:r>
      <w:r w:rsidR="00A1096E">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42962DC6"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847A9">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5F9E83BD" w:rsidR="0035531B" w:rsidRPr="0006499F" w:rsidRDefault="005C4D9E"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4704F0D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9966FE" w14:textId="58D49625" w:rsidR="005B32D6" w:rsidRDefault="005B32D6"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8539D"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AD4832">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38F88374"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DC0557">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064D8DD9" w:rsidR="0035531B" w:rsidRDefault="0035531B" w:rsidP="00193D8F">
      <w:pPr>
        <w:pStyle w:val="Odrka1-1"/>
      </w:pPr>
      <w:r>
        <w:t>Harmonogram postupu prací uvádějící grafické znázornění, pořadí</w:t>
      </w:r>
      <w:r w:rsidR="00845C50">
        <w:t xml:space="preserve"> a </w:t>
      </w:r>
      <w:r>
        <w:t>načasování hlavních činností</w:t>
      </w:r>
      <w:r w:rsidR="00007256">
        <w:t xml:space="preserve"> </w:t>
      </w:r>
      <w:r w:rsidR="00007256" w:rsidRPr="00C3729A">
        <w:t>(zpracování projektové dokumentace v dílčích částech rozčleněných na DSP a PDSP, její schválení, vydání stavebního povolení</w:t>
      </w:r>
      <w:r w:rsidR="00007256">
        <w:t>/ohlášení</w:t>
      </w:r>
      <w:r w:rsidR="00007256" w:rsidRPr="00C3729A">
        <w:t xml:space="preserve"> v právní moci, realizace PS a SO a autorský dozor)</w:t>
      </w:r>
      <w:r w:rsidR="00007256">
        <w:t>,</w:t>
      </w:r>
      <w:r>
        <w:t xml:space="preserve">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35718D" w:rsidRDefault="0035531B" w:rsidP="0035531B">
      <w:pPr>
        <w:pStyle w:val="Text1-1"/>
        <w:rPr>
          <w:rStyle w:val="Tun9b"/>
          <w:b w:val="0"/>
        </w:rPr>
      </w:pPr>
      <w:r w:rsidRPr="0035718D">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3CD2CB69" w:rsidR="00616090" w:rsidRDefault="00616090" w:rsidP="00616090">
      <w:pPr>
        <w:pStyle w:val="Odrka1-2-"/>
      </w:pPr>
      <w:r>
        <w:t>do těla závazného vzoru smlouvy celkovou nabídkovou cenu díla bez DPH zpracovanou dle požadavků stanovených v článku 13 této Výzvy;</w:t>
      </w:r>
    </w:p>
    <w:p w14:paraId="5C8DFB25" w14:textId="77777777" w:rsidR="009F6879" w:rsidRPr="00386CAD" w:rsidRDefault="009F6879" w:rsidP="009F6879">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DD260D2" w14:textId="4DE8ADE8" w:rsidR="009F6879" w:rsidRDefault="009F6879" w:rsidP="009F6879">
      <w:pPr>
        <w:pStyle w:val="Odrka1-2-"/>
        <w:numPr>
          <w:ilvl w:val="0"/>
          <w:numId w:val="0"/>
        </w:numPr>
        <w:ind w:left="1531"/>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mluvní cena ve smyslu této Výzvy vkládaná do Přílohy č. 4 závazného vzoru smlouvy musí naprosto korespondovat s</w:t>
      </w:r>
      <w:r w:rsidRPr="00C60D09">
        <w:rPr>
          <w:lang w:eastAsia="cs-CZ"/>
        </w:rPr>
        <w:t xml:space="preserve"> hodnotou Ceny Díla ve smyslu této Výzvy vkládané do těla (čl. 3.3) </w:t>
      </w:r>
      <w:r>
        <w:rPr>
          <w:lang w:eastAsia="cs-CZ"/>
        </w:rPr>
        <w:t>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540DAC">
        <w:rPr>
          <w:rFonts w:cs="Arial"/>
          <w:b/>
        </w:rPr>
        <w:t>Nabídky lze podat v termínu, který je uveden na profilu zadavatele:</w:t>
      </w:r>
      <w:r w:rsidRPr="00540DAC">
        <w:rPr>
          <w:rFonts w:cs="Arial"/>
        </w:rPr>
        <w:t xml:space="preserve"> </w:t>
      </w:r>
      <w:hyperlink r:id="rId21" w:history="1">
        <w:r w:rsidRPr="00540DAC">
          <w:rPr>
            <w:rStyle w:val="Hypertextovodkaz"/>
            <w:rFonts w:cs="Arial"/>
            <w:b/>
            <w:bCs/>
            <w:lang w:eastAsia="cs-CZ"/>
          </w:rPr>
          <w:t>https://zakazky.spravazeleznic.cz/</w:t>
        </w:r>
      </w:hyperlink>
      <w:r w:rsidRPr="00540DAC">
        <w:rPr>
          <w:rFonts w:cs="Arial"/>
          <w:b/>
        </w:rPr>
        <w:t>.</w:t>
      </w:r>
    </w:p>
    <w:p w14:paraId="6A3CE470" w14:textId="29B4E45A" w:rsidR="0035531B" w:rsidRDefault="005C4874"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xls/xlsx.</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37AAC382"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575D37">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08BA752" w:rsidR="00695DAA" w:rsidRDefault="00695DAA" w:rsidP="00695DAA">
      <w:pPr>
        <w:pStyle w:val="Odrka1-1"/>
      </w:pPr>
      <w:r>
        <w:t xml:space="preserve">Doklady prokazující splnění </w:t>
      </w:r>
      <w:r w:rsidRPr="00695DAA">
        <w:rPr>
          <w:b/>
        </w:rPr>
        <w:t>technické kvalifikace</w:t>
      </w:r>
      <w:r>
        <w:t>, tj. seznam</w:t>
      </w:r>
      <w:r w:rsidR="000115CD">
        <w:t xml:space="preserve"> významných služeb a</w:t>
      </w:r>
      <w:r>
        <w:t xml:space="preserve">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CB5230D" w:rsidR="0035531B" w:rsidRDefault="00F36DE7"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8AFC93F" w:rsidR="0035531B" w:rsidRDefault="004C086E" w:rsidP="004C086E">
      <w:pPr>
        <w:pStyle w:val="Text1-1"/>
      </w:pPr>
      <w:r w:rsidRPr="004C086E">
        <w:t xml:space="preserve">Dodavatelé ocení všechny položky </w:t>
      </w:r>
      <w:r w:rsidR="0035206B">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35206B">
        <w:t xml:space="preserve">Požadavky na výkon a funkci </w:t>
      </w:r>
      <w:r w:rsidRPr="004C086E">
        <w:t>s přihlédnutím k technickým specifikacím jednotlivých položek</w:t>
      </w:r>
      <w:r w:rsidR="00575D37">
        <w:t>, včetně Rekapitulace ceny</w:t>
      </w:r>
      <w:r w:rsidRPr="004C086E">
        <w:t xml:space="preserve">. </w:t>
      </w:r>
      <w:r w:rsidRPr="004C086E">
        <w:rPr>
          <w:b/>
        </w:rPr>
        <w:t>V případě, že dodavatel některou z položek uvedených v</w:t>
      </w:r>
      <w:r w:rsidR="0035206B">
        <w:rPr>
          <w:b/>
        </w:rPr>
        <w:t> 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35206B">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35206B">
        <w:t>Požadavků na výkon a funkci apod</w:t>
      </w:r>
      <w:r w:rsidRPr="004C086E">
        <w:t xml:space="preserve">.). Jednotkové ceny se uvedou bez DPH. Množství jednotek se uvádí se zaokrouhlením na 3 desetinná místa a jednotlivé oceněné položky </w:t>
      </w:r>
      <w:r w:rsidR="0035206B">
        <w:t>Požadavků na výkon a funkci</w:t>
      </w:r>
      <w:r w:rsidRPr="004C086E">
        <w:t xml:space="preserve"> se uvádějí v Kč se zaokrouhlením na 2 desetinná místa. Další případné požadavky na vyplnění </w:t>
      </w:r>
      <w:r w:rsidR="0035206B">
        <w:t>Požadavků na výkon a funkci</w:t>
      </w:r>
      <w:r w:rsidRPr="004C086E">
        <w:t xml:space="preserve"> stanoví Komentář k</w:t>
      </w:r>
      <w:r w:rsidR="0035206B">
        <w:t> Požadavkům na výkon a funkci</w:t>
      </w:r>
      <w:r w:rsidRPr="004C086E">
        <w:t xml:space="preserve"> (Díl 4 část 1 zadávací dokumentace)</w:t>
      </w:r>
      <w:r w:rsidR="0035531B">
        <w:t>.</w:t>
      </w:r>
    </w:p>
    <w:p w14:paraId="5BFF85A4" w14:textId="1CA57A82" w:rsidR="0035531B" w:rsidRDefault="004C086E" w:rsidP="004C086E">
      <w:pPr>
        <w:pStyle w:val="Text1-1"/>
      </w:pPr>
      <w:r w:rsidRPr="004C086E">
        <w:t>Nabídková cena bude v návrhu Smlouvy o dílo uvedena v Kč bez DPH</w:t>
      </w:r>
      <w:r w:rsidR="00A65174">
        <w:t xml:space="preserve">, </w:t>
      </w:r>
      <w:r w:rsidR="00A65174" w:rsidRPr="00B848EB">
        <w:t xml:space="preserve">a to </w:t>
      </w:r>
      <w:r w:rsidR="00A65174">
        <w:t xml:space="preserve">vždy </w:t>
      </w:r>
      <w:r w:rsidR="00A65174" w:rsidRPr="00B848EB">
        <w:t>jako součet ceny za zpracování projektové dokumentace bez DPH</w:t>
      </w:r>
      <w:r w:rsidR="00A65174">
        <w:t xml:space="preserve"> (dále rozdělené na cenu za dokumentaci pro stavební povolení/ohlášení a projektovou dokumentaci pro provádění stavby)</w:t>
      </w:r>
      <w:r w:rsidR="00A65174" w:rsidRPr="00B848EB">
        <w:t>, ceny za výkon autorského dozoru bez DPH a ceny za zhotovení stavby bez DPH.</w:t>
      </w:r>
      <w:r w:rsidR="00A65174">
        <w:t xml:space="preserve"> </w:t>
      </w:r>
      <w:r w:rsidRPr="004C086E">
        <w:t xml:space="preserve">Nabídková cena bude zaokrouhlená na dvě desetinná místa. </w:t>
      </w:r>
      <w:r w:rsidRPr="008645EE">
        <w:t>V případě rozporu mezi nabídkovou cenou uvedenou v návrhu Smlouvy o dílo a nabídkovou cenou uvedenou v</w:t>
      </w:r>
      <w:r w:rsidR="00A65174">
        <w:t> Rekapitulaci ceny</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4CE0615"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4C1307">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D12B1F">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D12B1F">
      <w:pPr>
        <w:pStyle w:val="Odstavec1-1a"/>
        <w:numPr>
          <w:ilvl w:val="0"/>
          <w:numId w:val="13"/>
        </w:numPr>
      </w:pPr>
      <w:r>
        <w:t>nebyly účastníkem výběrového řízení objasněny nebo doplněny na základě žádosti, nebo</w:t>
      </w:r>
    </w:p>
    <w:p w14:paraId="6534F071" w14:textId="77777777" w:rsidR="001D4B4A" w:rsidRDefault="001D4B4A" w:rsidP="00D12B1F">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D12B1F">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D12B1F">
      <w:pPr>
        <w:pStyle w:val="Odstavec1-1a"/>
        <w:numPr>
          <w:ilvl w:val="0"/>
          <w:numId w:val="14"/>
        </w:numPr>
      </w:pPr>
      <w:r>
        <w:t xml:space="preserve">došlo ke střetu zájmů a jiné opatření k nápravě, kromě zrušení výběrového řízení, není možné, </w:t>
      </w:r>
    </w:p>
    <w:p w14:paraId="052AB1AE" w14:textId="77777777" w:rsidR="001D4B4A" w:rsidRDefault="001D4B4A" w:rsidP="00D12B1F">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D12B1F">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D12B1F">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D12B1F">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34902CD"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60A6319" w:rsidR="0035531B" w:rsidRDefault="007B3D4D" w:rsidP="007B3D4D">
      <w:pPr>
        <w:pStyle w:val="Text1-1"/>
      </w:pPr>
      <w:r w:rsidRPr="007B3D4D">
        <w:t xml:space="preserve">Zadavatel vybere k uzavření smlouvy účastníka výběrového řízení, jehož nabídka byla vyhodnocena jako </w:t>
      </w:r>
      <w:r w:rsidRPr="007E2FBE">
        <w:t xml:space="preserve">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7E2FBE">
          <w:rPr>
            <w:rStyle w:val="Hypertextovodkaz"/>
            <w:noProof w:val="0"/>
          </w:rPr>
          <w:t>https://zakazky.spravazeleznic.cz/</w:t>
        </w:r>
      </w:hyperlink>
      <w:r w:rsidRPr="007E2FBE">
        <w:t>, případně jinou formou písemné elektronické komunikace (zadavatel preferuje komunikaci prostřednictvím elektronického nástroje E-ZAK)</w:t>
      </w:r>
      <w:r w:rsidR="002952C6" w:rsidRPr="007E2FBE">
        <w:t>,</w:t>
      </w:r>
      <w:r w:rsidRPr="007E2FBE">
        <w:t xml:space="preserve"> dokumenty uvedené v článku 19.3</w:t>
      </w:r>
      <w:r w:rsidR="00444DD4" w:rsidRPr="007E2FBE">
        <w:t xml:space="preserve"> (s výjimkou bankovní či pojistné záruky)</w:t>
      </w:r>
      <w:r w:rsidRPr="007E2FBE">
        <w:t xml:space="preserve">, resp. v článku 19.4 </w:t>
      </w:r>
      <w:r w:rsidR="005909AC" w:rsidRPr="007E2FBE">
        <w:t xml:space="preserve">až 19.8 </w:t>
      </w:r>
      <w:r w:rsidRPr="007E2FBE">
        <w:t>Výzvy</w:t>
      </w:r>
      <w:r w:rsidR="002952C6" w:rsidRPr="007E2FBE">
        <w:t>, dopadají-li na vybraného dodavatele.</w:t>
      </w:r>
      <w:r w:rsidRPr="007E2FBE">
        <w:t xml:space="preserve"> Zadavatel vyzve vybraného dodavatele k poskytnutí součinnosti</w:t>
      </w:r>
      <w:r w:rsidRPr="007B3D4D">
        <w:t xml:space="preserve">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19FF98A7"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296C4DD9"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w:t>
      </w:r>
      <w:r w:rsidR="00B4477F">
        <w:t>pecifikované plnění poskytnout.;</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49F7FAE5" w:rsidR="00F3035C" w:rsidRDefault="0035531B" w:rsidP="00F3035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 </w:t>
      </w:r>
      <w:r w:rsidRPr="00F3035C">
        <w:t>47 odst. 4 zákona č. 266/1994 Sb.,</w:t>
      </w:r>
      <w:r w:rsidR="00092CC9" w:rsidRPr="00F3035C">
        <w:t xml:space="preserve"> o </w:t>
      </w:r>
      <w:r w:rsidRPr="00F3035C">
        <w:t>drahách, ve znění pozdějších předpisů,</w:t>
      </w:r>
      <w:r w:rsidR="00845C50" w:rsidRPr="00F3035C">
        <w:t xml:space="preserve"> a </w:t>
      </w:r>
      <w:r w:rsidRPr="00F3035C">
        <w:t>to elektrických UTZ</w:t>
      </w:r>
      <w:r>
        <w:t xml:space="preserve"> železničních drah</w:t>
      </w:r>
      <w:r w:rsidR="00092CC9">
        <w:t xml:space="preserve"> v </w:t>
      </w:r>
      <w:r>
        <w:t xml:space="preserve">rozsahu: </w:t>
      </w:r>
    </w:p>
    <w:p w14:paraId="1E04D8C5" w14:textId="45044D9A" w:rsidR="007D5A8D" w:rsidRDefault="00F3035C" w:rsidP="00F3035C">
      <w:pPr>
        <w:pStyle w:val="Odrka1-1"/>
        <w:tabs>
          <w:tab w:val="clear" w:pos="1077"/>
          <w:tab w:val="num" w:pos="8647"/>
        </w:tabs>
        <w:ind w:left="1418" w:hanging="284"/>
      </w:pPr>
      <w:r w:rsidRPr="00350CA5">
        <w:rPr>
          <w:rFonts w:ascii="Verdana" w:hAnsi="Verdana" w:cs="Arial"/>
        </w:rPr>
        <w:t>silnoproudá zařízení drážní zabezpečovací, sdělovací, požární, signalizační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54F1CC" w14:textId="43685CBC" w:rsidR="00A7389A" w:rsidRDefault="00595B2D" w:rsidP="00D12B1F">
      <w:pPr>
        <w:pStyle w:val="Textbezslovn"/>
        <w:numPr>
          <w:ilvl w:val="0"/>
          <w:numId w:val="21"/>
        </w:numPr>
      </w:pPr>
      <w:r>
        <w:t xml:space="preserve">ke sdělení identifikačních údajů všech osob, které jsou jeho skutečným majitelem, </w:t>
      </w:r>
    </w:p>
    <w:p w14:paraId="469BB6DD" w14:textId="7E103F2F" w:rsidR="00595B2D" w:rsidRDefault="00595B2D" w:rsidP="00A7389A">
      <w:pPr>
        <w:pStyle w:val="Textbezslovn"/>
      </w:pPr>
      <w:r>
        <w:t xml:space="preserve">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1C682F3" w:rsidR="004F6CAF" w:rsidRDefault="00D20E67" w:rsidP="004F6CAF">
      <w:pPr>
        <w:pStyle w:val="Odrka1-1"/>
      </w:pPr>
      <w:r>
        <w:t>studentské exkurze.</w:t>
      </w:r>
    </w:p>
    <w:p w14:paraId="49F0953E" w14:textId="312BE12E"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20E67">
        <w:t>článku 4.</w:t>
      </w:r>
      <w:r w:rsidR="00D20E67" w:rsidRPr="00D20E67">
        <w:t>7</w:t>
      </w:r>
      <w:r w:rsidRPr="00D20E67">
        <w:t xml:space="preserve">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D3D843A" w:rsidR="0035531B" w:rsidRDefault="0035531B" w:rsidP="00564DDD">
      <w:pPr>
        <w:pStyle w:val="Textbezslovn"/>
        <w:tabs>
          <w:tab w:val="left" w:pos="2127"/>
        </w:tabs>
        <w:spacing w:after="0"/>
        <w:ind w:left="2127" w:hanging="1390"/>
      </w:pPr>
      <w:r>
        <w:t>Příloha č. 4</w:t>
      </w:r>
      <w:r>
        <w:tab/>
        <w:t xml:space="preserve">Seznam </w:t>
      </w:r>
      <w:r w:rsidR="003B549F">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3E4E12" w:rsidR="0035531B" w:rsidRDefault="0035531B" w:rsidP="00564DDD">
      <w:pPr>
        <w:pStyle w:val="Textbezslovn"/>
        <w:spacing w:after="0"/>
      </w:pPr>
      <w:r w:rsidRPr="003D2162">
        <w:t>V</w:t>
      </w:r>
      <w:r w:rsidR="00B36181" w:rsidRPr="003D2162">
        <w:t> </w:t>
      </w:r>
      <w:r w:rsidRPr="003D2162">
        <w:t xml:space="preserve">Praze </w:t>
      </w:r>
    </w:p>
    <w:p w14:paraId="2C45F736" w14:textId="24C08D75" w:rsidR="003D2162" w:rsidRDefault="003D2162" w:rsidP="00564DDD">
      <w:pPr>
        <w:pStyle w:val="Textbezslovn"/>
        <w:spacing w:after="0"/>
      </w:pPr>
    </w:p>
    <w:p w14:paraId="09FF94D4" w14:textId="77777777" w:rsidR="003D2162" w:rsidRPr="003D2162" w:rsidRDefault="003D2162" w:rsidP="00564DDD">
      <w:pPr>
        <w:pStyle w:val="Textbezslovn"/>
        <w:spacing w:after="0"/>
      </w:pPr>
    </w:p>
    <w:p w14:paraId="26A13A79" w14:textId="77777777" w:rsidR="0035531B" w:rsidRPr="003D2162" w:rsidRDefault="0035531B" w:rsidP="00564DDD">
      <w:pPr>
        <w:pStyle w:val="Textbezslovn"/>
        <w:spacing w:after="0"/>
      </w:pPr>
    </w:p>
    <w:p w14:paraId="124D0D46" w14:textId="77777777" w:rsidR="0035531B" w:rsidRPr="003D2162" w:rsidRDefault="0035531B" w:rsidP="00564DDD">
      <w:pPr>
        <w:pStyle w:val="Textbezslovn"/>
        <w:spacing w:after="0"/>
      </w:pPr>
    </w:p>
    <w:p w14:paraId="3102FDB0" w14:textId="77777777" w:rsidR="0035531B" w:rsidRPr="003D2162" w:rsidRDefault="0035531B" w:rsidP="00564DDD">
      <w:pPr>
        <w:pStyle w:val="Textbezslovn"/>
        <w:spacing w:after="0"/>
      </w:pPr>
    </w:p>
    <w:p w14:paraId="5ACB18CF" w14:textId="77777777" w:rsidR="0035531B" w:rsidRPr="003D2162" w:rsidRDefault="0035531B" w:rsidP="00564DDD">
      <w:pPr>
        <w:pStyle w:val="Textbezslovn"/>
        <w:spacing w:after="0"/>
      </w:pPr>
      <w:r w:rsidRPr="003D2162">
        <w:t>…………………………………………….</w:t>
      </w:r>
    </w:p>
    <w:p w14:paraId="3C83AF2A" w14:textId="77777777" w:rsidR="0035531B" w:rsidRPr="003D2162" w:rsidRDefault="0035531B" w:rsidP="00564DDD">
      <w:pPr>
        <w:pStyle w:val="Textbezslovn"/>
        <w:spacing w:after="0"/>
      </w:pPr>
      <w:r w:rsidRPr="003D2162">
        <w:t>Ing. Mojmír Nejezchleb</w:t>
      </w:r>
    </w:p>
    <w:p w14:paraId="22E3C2AA" w14:textId="77777777" w:rsidR="0035531B" w:rsidRPr="003D2162" w:rsidRDefault="0035531B" w:rsidP="00564DDD">
      <w:pPr>
        <w:pStyle w:val="Textbezslovn"/>
        <w:spacing w:after="0"/>
      </w:pPr>
      <w:r w:rsidRPr="003D2162">
        <w:t>náměstek generálního ředitele pro modernizaci dráhy</w:t>
      </w:r>
    </w:p>
    <w:p w14:paraId="16AFB686" w14:textId="77777777" w:rsidR="00564DDD" w:rsidRDefault="0035531B" w:rsidP="00B36181">
      <w:pPr>
        <w:pStyle w:val="Textbezslovn"/>
        <w:spacing w:after="0"/>
      </w:pPr>
      <w:r w:rsidRPr="003D2162">
        <w:t>Správa železni</w:t>
      </w:r>
      <w:r w:rsidR="00B277ED" w:rsidRPr="003D2162">
        <w:t>c</w:t>
      </w:r>
      <w:r w:rsidRPr="003D2162">
        <w:t>,</w:t>
      </w:r>
      <w:r w:rsidR="00B277ED" w:rsidRPr="003D2162">
        <w:t xml:space="preserve"> </w:t>
      </w:r>
      <w:r w:rsidRPr="003D2162">
        <w:t>státní organizace</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EC3BD3F" w:rsidR="008C65E0" w:rsidRDefault="006A6AF2" w:rsidP="006A6AF2">
      <w:pPr>
        <w:pStyle w:val="Textbezslovn"/>
        <w:ind w:left="0"/>
      </w:pPr>
      <w:r w:rsidRPr="006A6AF2">
        <w:t>Řádně jsme se seznámili se zněním zadávacích pod</w:t>
      </w:r>
      <w:r w:rsidR="00880F40">
        <w:t xml:space="preserve">mínek veřejné zakázky s názvem </w:t>
      </w:r>
      <w:r w:rsidR="00880F40" w:rsidRPr="001F1330">
        <w:rPr>
          <w:b/>
        </w:rPr>
        <w:t>„Vybavení vybraných stanic a zastávek informačními panely, instalace SMART zastávek“</w:t>
      </w:r>
      <w:r w:rsidR="00880F40" w:rsidRPr="006A6AF2">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38593F08" w:rsidR="0035531B" w:rsidRPr="00AD792A" w:rsidRDefault="0035531B" w:rsidP="00FE4333">
      <w:pPr>
        <w:pStyle w:val="Nadpisbezsl1-2"/>
      </w:pPr>
      <w:r w:rsidRPr="00AD792A">
        <w:t xml:space="preserve">Seznam </w:t>
      </w:r>
      <w:r w:rsidR="00D76C04">
        <w:t xml:space="preserve">významných služeb a </w:t>
      </w:r>
      <w:r w:rsidRPr="00AD792A">
        <w:t>stavebních prací</w:t>
      </w:r>
    </w:p>
    <w:p w14:paraId="296E5AA2" w14:textId="77777777" w:rsidR="00D76C04" w:rsidRPr="007A7C2C" w:rsidRDefault="00D76C04" w:rsidP="00D76C04">
      <w:pPr>
        <w:pStyle w:val="Textbezslovn"/>
        <w:ind w:left="0"/>
        <w:rPr>
          <w:b/>
        </w:rPr>
      </w:pPr>
      <w:r w:rsidRPr="007A7C2C">
        <w:rPr>
          <w:b/>
        </w:rPr>
        <w:t>Seznam významných služeb</w:t>
      </w:r>
    </w:p>
    <w:p w14:paraId="0997CD00" w14:textId="77777777" w:rsidR="00D76C04" w:rsidRPr="007A7C2C" w:rsidRDefault="00D76C04" w:rsidP="00D76C0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D76C04" w:rsidRPr="007A7C2C" w14:paraId="6641BEC4" w14:textId="77777777" w:rsidTr="006B54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1FA02BCE" w14:textId="77777777" w:rsidR="00D76C04" w:rsidRPr="007A7C2C" w:rsidRDefault="00D76C04" w:rsidP="006B54DD">
            <w:pPr>
              <w:rPr>
                <w:b/>
                <w:sz w:val="16"/>
                <w:szCs w:val="16"/>
              </w:rPr>
            </w:pPr>
            <w:r w:rsidRPr="007A7C2C">
              <w:rPr>
                <w:b/>
              </w:rPr>
              <w:t>Název služby/ zakázky</w:t>
            </w:r>
            <w:r w:rsidRPr="007A7C2C">
              <w:rPr>
                <w:b/>
                <w:sz w:val="16"/>
                <w:szCs w:val="16"/>
              </w:rPr>
              <w:t xml:space="preserve"> </w:t>
            </w:r>
          </w:p>
        </w:tc>
        <w:tc>
          <w:tcPr>
            <w:tcW w:w="1506" w:type="dxa"/>
          </w:tcPr>
          <w:p w14:paraId="5EBD3728" w14:textId="77777777" w:rsidR="00D76C04" w:rsidRPr="007A7C2C" w:rsidRDefault="00D76C04" w:rsidP="006B54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BF9D1A6" w14:textId="77777777" w:rsidR="00D76C04" w:rsidRPr="007A7C2C" w:rsidRDefault="00D76C04" w:rsidP="006B54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59EC9828" w14:textId="77777777" w:rsidR="00D76C04" w:rsidRPr="007A7C2C" w:rsidRDefault="00D76C04" w:rsidP="006B54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49621FA" w14:textId="77777777" w:rsidR="00D76C04" w:rsidRPr="007A7C2C" w:rsidRDefault="00D76C04" w:rsidP="006B54D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EA25FCA" w14:textId="77777777" w:rsidR="00D76C04" w:rsidRPr="007A7C2C" w:rsidRDefault="00D76C04" w:rsidP="006B54D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D76C04" w:rsidRPr="007A7C2C" w14:paraId="66BA9D08" w14:textId="77777777" w:rsidTr="006B54D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340651C" w14:textId="77777777" w:rsidR="00D76C04" w:rsidRPr="007A7C2C" w:rsidRDefault="00D76C04" w:rsidP="006B54DD">
            <w:pPr>
              <w:rPr>
                <w:sz w:val="16"/>
                <w:szCs w:val="16"/>
                <w:highlight w:val="yellow"/>
              </w:rPr>
            </w:pPr>
            <w:r w:rsidRPr="007A7C2C">
              <w:rPr>
                <w:sz w:val="16"/>
                <w:szCs w:val="16"/>
                <w:highlight w:val="yellow"/>
              </w:rPr>
              <w:t>[DOPLNÍ DODAVATEL]</w:t>
            </w:r>
          </w:p>
        </w:tc>
        <w:tc>
          <w:tcPr>
            <w:tcW w:w="1506" w:type="dxa"/>
          </w:tcPr>
          <w:p w14:paraId="587398F8"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5C04BF8"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F4CD3"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AA30B6D"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BFA2719"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76C04" w:rsidRPr="007A7C2C" w14:paraId="7EF080D2" w14:textId="77777777" w:rsidTr="006B54D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0272987" w14:textId="77777777" w:rsidR="00D76C04" w:rsidRPr="007A7C2C" w:rsidRDefault="00D76C04" w:rsidP="006B54DD">
            <w:pPr>
              <w:rPr>
                <w:sz w:val="16"/>
                <w:szCs w:val="16"/>
                <w:highlight w:val="yellow"/>
              </w:rPr>
            </w:pPr>
            <w:r w:rsidRPr="007A7C2C">
              <w:rPr>
                <w:sz w:val="16"/>
                <w:szCs w:val="16"/>
                <w:highlight w:val="yellow"/>
              </w:rPr>
              <w:t>[DOPLNÍ DODAVATEL]</w:t>
            </w:r>
          </w:p>
        </w:tc>
        <w:tc>
          <w:tcPr>
            <w:tcW w:w="1506" w:type="dxa"/>
          </w:tcPr>
          <w:p w14:paraId="1970EFEB"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B0D5FA"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70D95DC"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F3B020B"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5CA5A21"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76C04" w:rsidRPr="007A7C2C" w14:paraId="2A622DC6" w14:textId="77777777" w:rsidTr="006B54D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B8AFA83" w14:textId="77777777" w:rsidR="00D76C04" w:rsidRPr="007A7C2C" w:rsidRDefault="00D76C04" w:rsidP="006B54DD">
            <w:pPr>
              <w:rPr>
                <w:sz w:val="16"/>
                <w:szCs w:val="16"/>
                <w:highlight w:val="yellow"/>
              </w:rPr>
            </w:pPr>
            <w:r w:rsidRPr="007A7C2C">
              <w:rPr>
                <w:sz w:val="16"/>
                <w:szCs w:val="16"/>
                <w:highlight w:val="yellow"/>
              </w:rPr>
              <w:t>[DOPLNÍ DODAVATEL]</w:t>
            </w:r>
          </w:p>
        </w:tc>
        <w:tc>
          <w:tcPr>
            <w:tcW w:w="1506" w:type="dxa"/>
          </w:tcPr>
          <w:p w14:paraId="4DB9681A"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CDB98AB"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7CAF2F"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D59A0D4"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27B9725"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76C04" w:rsidRPr="007A7C2C" w14:paraId="65B5D34E" w14:textId="77777777" w:rsidTr="006B54D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382DBC6" w14:textId="77777777" w:rsidR="00D76C04" w:rsidRPr="007A7C2C" w:rsidRDefault="00D76C04" w:rsidP="006B54DD">
            <w:pPr>
              <w:rPr>
                <w:sz w:val="16"/>
                <w:szCs w:val="16"/>
                <w:highlight w:val="yellow"/>
              </w:rPr>
            </w:pPr>
            <w:r w:rsidRPr="007A7C2C">
              <w:rPr>
                <w:sz w:val="16"/>
                <w:szCs w:val="16"/>
                <w:highlight w:val="yellow"/>
              </w:rPr>
              <w:t>[DOPLNÍ DODAVATEL]</w:t>
            </w:r>
          </w:p>
        </w:tc>
        <w:tc>
          <w:tcPr>
            <w:tcW w:w="1506" w:type="dxa"/>
          </w:tcPr>
          <w:p w14:paraId="1E36026A"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9075AED"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A37F556"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FCBC9C5"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8086921"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76C04" w:rsidRPr="007A7C2C" w14:paraId="2F0E3718" w14:textId="77777777" w:rsidTr="006B54D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B7839A5" w14:textId="77777777" w:rsidR="00D76C04" w:rsidRPr="007A7C2C" w:rsidRDefault="00D76C04" w:rsidP="006B54DD">
            <w:pPr>
              <w:rPr>
                <w:sz w:val="16"/>
                <w:szCs w:val="16"/>
                <w:highlight w:val="yellow"/>
              </w:rPr>
            </w:pPr>
            <w:r w:rsidRPr="007A7C2C">
              <w:rPr>
                <w:sz w:val="16"/>
                <w:szCs w:val="16"/>
                <w:highlight w:val="yellow"/>
              </w:rPr>
              <w:t>[DOPLNÍ DODAVATEL]</w:t>
            </w:r>
          </w:p>
        </w:tc>
        <w:tc>
          <w:tcPr>
            <w:tcW w:w="1506" w:type="dxa"/>
          </w:tcPr>
          <w:p w14:paraId="1E482E68"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2291FDA"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EB7C065"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A5CA022"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E781019" w14:textId="77777777" w:rsidR="00D76C04" w:rsidRPr="007A7C2C" w:rsidRDefault="00D76C04" w:rsidP="006B54D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76C04" w:rsidRPr="007A7C2C" w14:paraId="4B543EAF" w14:textId="77777777" w:rsidTr="006B54D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F646D68" w14:textId="77777777" w:rsidR="00D76C04" w:rsidRPr="007A7C2C" w:rsidRDefault="00D76C04" w:rsidP="006B54DD">
            <w:pPr>
              <w:rPr>
                <w:b w:val="0"/>
                <w:sz w:val="16"/>
                <w:szCs w:val="16"/>
                <w:highlight w:val="yellow"/>
              </w:rPr>
            </w:pPr>
            <w:r w:rsidRPr="007A7C2C">
              <w:rPr>
                <w:b w:val="0"/>
                <w:sz w:val="16"/>
                <w:szCs w:val="16"/>
                <w:highlight w:val="yellow"/>
              </w:rPr>
              <w:t>[DOPLNÍ DODAVATEL]</w:t>
            </w:r>
          </w:p>
        </w:tc>
        <w:tc>
          <w:tcPr>
            <w:tcW w:w="1506" w:type="dxa"/>
            <w:shd w:val="clear" w:color="auto" w:fill="auto"/>
          </w:tcPr>
          <w:p w14:paraId="5AC618E1" w14:textId="77777777" w:rsidR="00D76C04" w:rsidRPr="007A7C2C" w:rsidRDefault="00D76C04" w:rsidP="006B54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CB5515E" w14:textId="77777777" w:rsidR="00D76C04" w:rsidRPr="007A7C2C" w:rsidRDefault="00D76C04" w:rsidP="006B54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52FF76FD" w14:textId="77777777" w:rsidR="00D76C04" w:rsidRPr="007A7C2C" w:rsidRDefault="00D76C04" w:rsidP="006B54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2D849ADB" w14:textId="77777777" w:rsidR="00D76C04" w:rsidRPr="007A7C2C" w:rsidRDefault="00D76C04" w:rsidP="006B54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5335A052" w14:textId="77777777" w:rsidR="00D76C04" w:rsidRPr="007A7C2C" w:rsidRDefault="00D76C04" w:rsidP="006B54D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73770B43" w:rsidR="00AB1063" w:rsidRDefault="00AB1063" w:rsidP="00AD792A">
      <w:pPr>
        <w:pStyle w:val="Textbezslovn"/>
        <w:ind w:left="0"/>
      </w:pPr>
    </w:p>
    <w:p w14:paraId="38F80918" w14:textId="0829E560" w:rsidR="00D76C04" w:rsidRPr="00D76C04" w:rsidRDefault="00D76C04" w:rsidP="00AD792A">
      <w:pPr>
        <w:pStyle w:val="Textbezslovn"/>
        <w:ind w:left="0"/>
        <w:rPr>
          <w:b/>
        </w:rPr>
      </w:pPr>
      <w:r w:rsidRPr="00D76C04">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w:t>
            </w:r>
            <w:r w:rsidR="00DD63D8" w:rsidRPr="00D76C04">
              <w:rPr>
                <w:b/>
              </w:rPr>
              <w:t>které 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1E4C0C7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D76C04">
        <w:t xml:space="preserve">služby nebo </w:t>
      </w:r>
      <w:r>
        <w:t>stavební práce, které poskytl:</w:t>
      </w:r>
    </w:p>
    <w:p w14:paraId="5B6B47EB" w14:textId="77777777" w:rsidR="0035531B" w:rsidRDefault="0035531B" w:rsidP="00D12B1F">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994F8A"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3970E4">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2FD2F2E6"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C541B4">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D12B1F">
      <w:pPr>
        <w:pStyle w:val="Odstavec1-1a"/>
        <w:numPr>
          <w:ilvl w:val="0"/>
          <w:numId w:val="12"/>
        </w:numPr>
      </w:pPr>
      <w:r>
        <w:t>Příjmení: [</w:t>
      </w:r>
      <w:r w:rsidRPr="00E24F78">
        <w:rPr>
          <w:b/>
          <w:highlight w:val="yellow"/>
        </w:rPr>
        <w:t>DOPLNÍ DODAVATEL</w:t>
      </w:r>
      <w:r>
        <w:t>]</w:t>
      </w:r>
    </w:p>
    <w:p w14:paraId="20591EA0" w14:textId="77777777" w:rsidR="0035531B" w:rsidRDefault="0035531B" w:rsidP="00D12B1F">
      <w:pPr>
        <w:pStyle w:val="Odstavec1-1a"/>
        <w:numPr>
          <w:ilvl w:val="0"/>
          <w:numId w:val="12"/>
        </w:numPr>
      </w:pPr>
      <w:r>
        <w:t>Jméno: [</w:t>
      </w:r>
      <w:r w:rsidRPr="00E24F78">
        <w:rPr>
          <w:b/>
          <w:highlight w:val="yellow"/>
        </w:rPr>
        <w:t>DOPLNÍ DODAVATEL</w:t>
      </w:r>
      <w:r>
        <w:t>]</w:t>
      </w:r>
    </w:p>
    <w:p w14:paraId="15F8B52C" w14:textId="77777777" w:rsidR="0035531B" w:rsidRDefault="0035531B" w:rsidP="00D12B1F">
      <w:pPr>
        <w:pStyle w:val="Odstavec1-1a"/>
        <w:numPr>
          <w:ilvl w:val="0"/>
          <w:numId w:val="12"/>
        </w:numPr>
      </w:pPr>
      <w:r>
        <w:t>Datum narození: [</w:t>
      </w:r>
      <w:r w:rsidRPr="00833899">
        <w:rPr>
          <w:highlight w:val="yellow"/>
        </w:rPr>
        <w:t>DOPLNÍ DODAVATEL</w:t>
      </w:r>
      <w:r>
        <w:t>]</w:t>
      </w:r>
    </w:p>
    <w:p w14:paraId="014B12AF" w14:textId="77777777" w:rsidR="0035531B" w:rsidRDefault="0035531B" w:rsidP="00D12B1F">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D12B1F">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6228F396" w:rsidR="00452F69" w:rsidRPr="00833899" w:rsidRDefault="00551DD4"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183D01C2" w:rsidR="0035531B" w:rsidRDefault="0035531B" w:rsidP="00452F69">
      <w:pPr>
        <w:pStyle w:val="Odstavec1-1a"/>
      </w:pPr>
      <w:r w:rsidRPr="00452F69">
        <w:rPr>
          <w:b/>
        </w:rPr>
        <w:t>Zkušenosti</w:t>
      </w:r>
      <w:r w:rsidR="00845C50">
        <w:t xml:space="preserve"> s </w:t>
      </w:r>
      <w:r>
        <w:t xml:space="preserve">řízením realizace </w:t>
      </w:r>
      <w:r w:rsidR="009534BF">
        <w:t>stavby</w:t>
      </w:r>
      <w:r w:rsidR="00623140">
        <w:t xml:space="preserve"> nebo projektováním zakázek</w:t>
      </w:r>
      <w:r w:rsidR="009534BF">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2693A1C1" w:rsidR="00452F69" w:rsidRPr="00833899" w:rsidRDefault="00A243F2"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003195EF" w:rsidR="00452F69" w:rsidRPr="00833899" w:rsidRDefault="00A243F2" w:rsidP="00170521">
            <w:pPr>
              <w:rPr>
                <w:b w:val="0"/>
                <w:sz w:val="16"/>
                <w:szCs w:val="16"/>
              </w:rPr>
            </w:pPr>
            <w:r w:rsidRPr="007A7C2C">
              <w:rPr>
                <w:b w:val="0"/>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4AFC73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26C946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116DC" w:rsidRPr="001116DC">
        <w:rPr>
          <w:b/>
        </w:rPr>
        <w:t>„Vybavení</w:t>
      </w:r>
      <w:r w:rsidR="001116DC" w:rsidRPr="001F1330">
        <w:rPr>
          <w:b/>
        </w:rPr>
        <w:t xml:space="preserve"> vybraných stanic a zastávek informačními panely, instalace SMART zastávek“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D12B1F">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E3993" w14:textId="77777777" w:rsidR="00BF38F9" w:rsidRDefault="00BF38F9" w:rsidP="00962258">
      <w:pPr>
        <w:spacing w:after="0" w:line="240" w:lineRule="auto"/>
      </w:pPr>
      <w:r>
        <w:separator/>
      </w:r>
    </w:p>
  </w:endnote>
  <w:endnote w:type="continuationSeparator" w:id="0">
    <w:p w14:paraId="61F17908" w14:textId="77777777" w:rsidR="00BF38F9" w:rsidRDefault="00BF38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8539D" w:rsidRPr="00A820EB" w14:paraId="43E6FD8A" w14:textId="77777777" w:rsidTr="00EB46E5">
      <w:tc>
        <w:tcPr>
          <w:tcW w:w="1361" w:type="dxa"/>
          <w:tcMar>
            <w:left w:w="0" w:type="dxa"/>
            <w:right w:w="0" w:type="dxa"/>
          </w:tcMar>
          <w:vAlign w:val="bottom"/>
        </w:tcPr>
        <w:p w14:paraId="016FBFAA" w14:textId="39A45114" w:rsidR="00D8539D" w:rsidRPr="00B8518B" w:rsidRDefault="00D8539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075C">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075C">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D8539D" w:rsidRDefault="00D8539D" w:rsidP="00B8518B">
          <w:pPr>
            <w:pStyle w:val="Zpat"/>
          </w:pPr>
        </w:p>
      </w:tc>
      <w:tc>
        <w:tcPr>
          <w:tcW w:w="425" w:type="dxa"/>
          <w:shd w:val="clear" w:color="auto" w:fill="auto"/>
          <w:tcMar>
            <w:left w:w="0" w:type="dxa"/>
            <w:right w:w="0" w:type="dxa"/>
          </w:tcMar>
        </w:tcPr>
        <w:p w14:paraId="45F1B8FE" w14:textId="77777777" w:rsidR="00D8539D" w:rsidRDefault="00D8539D" w:rsidP="00B8518B">
          <w:pPr>
            <w:pStyle w:val="Zpat"/>
          </w:pPr>
        </w:p>
      </w:tc>
      <w:tc>
        <w:tcPr>
          <w:tcW w:w="8505" w:type="dxa"/>
        </w:tcPr>
        <w:p w14:paraId="6552BBF7" w14:textId="0B3E2C0F" w:rsidR="00D8539D" w:rsidRPr="00A820EB" w:rsidRDefault="00D8539D" w:rsidP="00EB46E5">
          <w:pPr>
            <w:pStyle w:val="Zpat0"/>
          </w:pPr>
          <w:r w:rsidRPr="00A820EB">
            <w:t>„Vybavení vybraných stanic a zastávek informačními panely, instalace SMART zastávek“</w:t>
          </w:r>
        </w:p>
        <w:p w14:paraId="3201EED0" w14:textId="77777777" w:rsidR="00D8539D" w:rsidRPr="00A820EB" w:rsidRDefault="00D8539D" w:rsidP="00EB46E5">
          <w:pPr>
            <w:pStyle w:val="Zpat0"/>
          </w:pPr>
          <w:r w:rsidRPr="00A820EB">
            <w:t>Díl 1 – VÝZVA K PODÁNÍ NABÍDKY</w:t>
          </w:r>
        </w:p>
        <w:p w14:paraId="0F33739D" w14:textId="77777777" w:rsidR="00D8539D" w:rsidRPr="00A820EB" w:rsidRDefault="00D8539D" w:rsidP="0035531B">
          <w:pPr>
            <w:pStyle w:val="Zpat0"/>
          </w:pPr>
        </w:p>
      </w:tc>
    </w:tr>
  </w:tbl>
  <w:p w14:paraId="0F99771F" w14:textId="77777777" w:rsidR="00D8539D" w:rsidRPr="00B8518B" w:rsidRDefault="00D8539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D8539D" w:rsidRPr="00B8518B" w:rsidRDefault="00D8539D" w:rsidP="00460660">
    <w:pPr>
      <w:pStyle w:val="Zpat"/>
      <w:rPr>
        <w:sz w:val="2"/>
        <w:szCs w:val="2"/>
      </w:rPr>
    </w:pPr>
  </w:p>
  <w:p w14:paraId="542534AD" w14:textId="77777777" w:rsidR="00D8539D" w:rsidRPr="00460660" w:rsidRDefault="00D8539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534C5" w14:textId="77777777" w:rsidR="00BF38F9" w:rsidRDefault="00BF38F9" w:rsidP="00962258">
      <w:pPr>
        <w:spacing w:after="0" w:line="240" w:lineRule="auto"/>
      </w:pPr>
      <w:r>
        <w:separator/>
      </w:r>
    </w:p>
  </w:footnote>
  <w:footnote w:type="continuationSeparator" w:id="0">
    <w:p w14:paraId="2FDC445A" w14:textId="77777777" w:rsidR="00BF38F9" w:rsidRDefault="00BF38F9" w:rsidP="00962258">
      <w:pPr>
        <w:spacing w:after="0" w:line="240" w:lineRule="auto"/>
      </w:pPr>
      <w:r>
        <w:continuationSeparator/>
      </w:r>
    </w:p>
  </w:footnote>
  <w:footnote w:id="1">
    <w:p w14:paraId="6D9839BF" w14:textId="77777777" w:rsidR="00D8539D" w:rsidRDefault="00D8539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D8539D" w:rsidRDefault="00D8539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D8539D" w:rsidRDefault="00D8539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D8539D" w:rsidRDefault="00D8539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D8539D" w:rsidRDefault="00D8539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D8539D" w:rsidRDefault="00D8539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D8539D" w:rsidRDefault="00D8539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D8539D" w:rsidRDefault="00D8539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D8539D" w:rsidRDefault="00D8539D"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D8539D" w:rsidRDefault="00D8539D"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8539D" w14:paraId="79A2CDDF" w14:textId="77777777" w:rsidTr="00C02D0A">
      <w:trPr>
        <w:trHeight w:hRule="exact" w:val="454"/>
      </w:trPr>
      <w:tc>
        <w:tcPr>
          <w:tcW w:w="1361" w:type="dxa"/>
          <w:tcMar>
            <w:top w:w="57" w:type="dxa"/>
            <w:left w:w="0" w:type="dxa"/>
            <w:right w:w="0" w:type="dxa"/>
          </w:tcMar>
        </w:tcPr>
        <w:p w14:paraId="6F56E93F" w14:textId="77777777" w:rsidR="00D8539D" w:rsidRPr="00B8518B" w:rsidRDefault="00D8539D" w:rsidP="00523EA7">
          <w:pPr>
            <w:pStyle w:val="Zpat"/>
            <w:rPr>
              <w:rStyle w:val="slostrnky"/>
            </w:rPr>
          </w:pPr>
        </w:p>
      </w:tc>
      <w:tc>
        <w:tcPr>
          <w:tcW w:w="3458" w:type="dxa"/>
          <w:shd w:val="clear" w:color="auto" w:fill="auto"/>
          <w:tcMar>
            <w:top w:w="57" w:type="dxa"/>
            <w:left w:w="0" w:type="dxa"/>
            <w:right w:w="0" w:type="dxa"/>
          </w:tcMar>
        </w:tcPr>
        <w:p w14:paraId="743F0C7F" w14:textId="77777777" w:rsidR="00D8539D" w:rsidRDefault="00D8539D" w:rsidP="00523EA7">
          <w:pPr>
            <w:pStyle w:val="Zpat"/>
          </w:pPr>
        </w:p>
      </w:tc>
      <w:tc>
        <w:tcPr>
          <w:tcW w:w="5698" w:type="dxa"/>
          <w:shd w:val="clear" w:color="auto" w:fill="auto"/>
          <w:tcMar>
            <w:top w:w="57" w:type="dxa"/>
            <w:left w:w="0" w:type="dxa"/>
            <w:right w:w="0" w:type="dxa"/>
          </w:tcMar>
        </w:tcPr>
        <w:p w14:paraId="31CF52A8" w14:textId="77777777" w:rsidR="00D8539D" w:rsidRPr="00D6163D" w:rsidRDefault="00D8539D" w:rsidP="00D6163D">
          <w:pPr>
            <w:pStyle w:val="Druhdokumentu"/>
          </w:pPr>
        </w:p>
      </w:tc>
    </w:tr>
  </w:tbl>
  <w:p w14:paraId="75C0D1DB" w14:textId="77777777" w:rsidR="00D8539D" w:rsidRPr="00D6163D" w:rsidRDefault="00D8539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539D" w14:paraId="305FD5DB" w14:textId="77777777" w:rsidTr="00B22106">
      <w:trPr>
        <w:trHeight w:hRule="exact" w:val="936"/>
      </w:trPr>
      <w:tc>
        <w:tcPr>
          <w:tcW w:w="1361" w:type="dxa"/>
          <w:tcMar>
            <w:left w:w="0" w:type="dxa"/>
            <w:right w:w="0" w:type="dxa"/>
          </w:tcMar>
        </w:tcPr>
        <w:p w14:paraId="570B0069" w14:textId="77777777" w:rsidR="00D8539D" w:rsidRPr="00B8518B" w:rsidRDefault="00D8539D" w:rsidP="00FC6389">
          <w:pPr>
            <w:pStyle w:val="Zpat"/>
            <w:rPr>
              <w:rStyle w:val="slostrnky"/>
            </w:rPr>
          </w:pPr>
        </w:p>
      </w:tc>
      <w:tc>
        <w:tcPr>
          <w:tcW w:w="3458" w:type="dxa"/>
          <w:shd w:val="clear" w:color="auto" w:fill="auto"/>
          <w:tcMar>
            <w:left w:w="0" w:type="dxa"/>
            <w:right w:w="0" w:type="dxa"/>
          </w:tcMar>
        </w:tcPr>
        <w:p w14:paraId="5C1BA917" w14:textId="77777777" w:rsidR="00D8539D" w:rsidRDefault="00D8539D" w:rsidP="00FC6389">
          <w:pPr>
            <w:pStyle w:val="Zpat"/>
          </w:pPr>
        </w:p>
      </w:tc>
      <w:tc>
        <w:tcPr>
          <w:tcW w:w="5756" w:type="dxa"/>
          <w:shd w:val="clear" w:color="auto" w:fill="auto"/>
          <w:tcMar>
            <w:left w:w="0" w:type="dxa"/>
            <w:right w:w="0" w:type="dxa"/>
          </w:tcMar>
        </w:tcPr>
        <w:p w14:paraId="2C32B53E" w14:textId="77777777" w:rsidR="00D8539D" w:rsidRPr="00D6163D" w:rsidRDefault="00D8539D" w:rsidP="00FC6389">
          <w:pPr>
            <w:pStyle w:val="Druhdokumentu"/>
          </w:pPr>
        </w:p>
      </w:tc>
    </w:tr>
    <w:tr w:rsidR="00D8539D" w14:paraId="69F8D53D" w14:textId="77777777" w:rsidTr="00B22106">
      <w:trPr>
        <w:trHeight w:hRule="exact" w:val="936"/>
      </w:trPr>
      <w:tc>
        <w:tcPr>
          <w:tcW w:w="1361" w:type="dxa"/>
          <w:tcMar>
            <w:left w:w="0" w:type="dxa"/>
            <w:right w:w="0" w:type="dxa"/>
          </w:tcMar>
        </w:tcPr>
        <w:p w14:paraId="679BED3A" w14:textId="77777777" w:rsidR="00D8539D" w:rsidRPr="00B8518B" w:rsidRDefault="00D8539D" w:rsidP="00FC6389">
          <w:pPr>
            <w:pStyle w:val="Zpat"/>
            <w:rPr>
              <w:rStyle w:val="slostrnky"/>
            </w:rPr>
          </w:pPr>
        </w:p>
      </w:tc>
      <w:tc>
        <w:tcPr>
          <w:tcW w:w="3458" w:type="dxa"/>
          <w:shd w:val="clear" w:color="auto" w:fill="auto"/>
          <w:tcMar>
            <w:left w:w="0" w:type="dxa"/>
            <w:right w:w="0" w:type="dxa"/>
          </w:tcMar>
        </w:tcPr>
        <w:p w14:paraId="63E8AC86" w14:textId="77777777" w:rsidR="00D8539D" w:rsidRDefault="00D8539D" w:rsidP="00FC6389">
          <w:pPr>
            <w:pStyle w:val="Zpat"/>
          </w:pPr>
        </w:p>
      </w:tc>
      <w:tc>
        <w:tcPr>
          <w:tcW w:w="5756" w:type="dxa"/>
          <w:shd w:val="clear" w:color="auto" w:fill="auto"/>
          <w:tcMar>
            <w:left w:w="0" w:type="dxa"/>
            <w:right w:w="0" w:type="dxa"/>
          </w:tcMar>
        </w:tcPr>
        <w:p w14:paraId="702F8471" w14:textId="77777777" w:rsidR="00D8539D" w:rsidRPr="00D6163D" w:rsidRDefault="00D8539D" w:rsidP="00FC6389">
          <w:pPr>
            <w:pStyle w:val="Druhdokumentu"/>
          </w:pPr>
        </w:p>
      </w:tc>
    </w:tr>
  </w:tbl>
  <w:p w14:paraId="0A197E79" w14:textId="77777777" w:rsidR="00D8539D" w:rsidRPr="00D6163D" w:rsidRDefault="00D8539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D8539D" w:rsidRPr="00460660" w:rsidRDefault="00D8539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00E8B4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BA2B51"/>
    <w:multiLevelType w:val="hybridMultilevel"/>
    <w:tmpl w:val="BDA26298"/>
    <w:lvl w:ilvl="0" w:tplc="859A074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DE5EBD"/>
    <w:multiLevelType w:val="hybridMultilevel"/>
    <w:tmpl w:val="88C20132"/>
    <w:lvl w:ilvl="0" w:tplc="0405000B">
      <w:start w:val="1"/>
      <w:numFmt w:val="bullet"/>
      <w:lvlText w:val=""/>
      <w:lvlJc w:val="left"/>
      <w:pPr>
        <w:ind w:left="1915" w:hanging="360"/>
      </w:pPr>
      <w:rPr>
        <w:rFonts w:ascii="Wingdings" w:hAnsi="Wingdings" w:hint="default"/>
      </w:rPr>
    </w:lvl>
    <w:lvl w:ilvl="1" w:tplc="04050003" w:tentative="1">
      <w:start w:val="1"/>
      <w:numFmt w:val="bullet"/>
      <w:lvlText w:val="o"/>
      <w:lvlJc w:val="left"/>
      <w:pPr>
        <w:ind w:left="2635" w:hanging="360"/>
      </w:pPr>
      <w:rPr>
        <w:rFonts w:ascii="Courier New" w:hAnsi="Courier New" w:cs="Courier New" w:hint="default"/>
      </w:rPr>
    </w:lvl>
    <w:lvl w:ilvl="2" w:tplc="04050005" w:tentative="1">
      <w:start w:val="1"/>
      <w:numFmt w:val="bullet"/>
      <w:lvlText w:val=""/>
      <w:lvlJc w:val="left"/>
      <w:pPr>
        <w:ind w:left="3355" w:hanging="360"/>
      </w:pPr>
      <w:rPr>
        <w:rFonts w:ascii="Wingdings" w:hAnsi="Wingdings" w:hint="default"/>
      </w:rPr>
    </w:lvl>
    <w:lvl w:ilvl="3" w:tplc="04050001" w:tentative="1">
      <w:start w:val="1"/>
      <w:numFmt w:val="bullet"/>
      <w:lvlText w:val=""/>
      <w:lvlJc w:val="left"/>
      <w:pPr>
        <w:ind w:left="4075" w:hanging="360"/>
      </w:pPr>
      <w:rPr>
        <w:rFonts w:ascii="Symbol" w:hAnsi="Symbol" w:hint="default"/>
      </w:rPr>
    </w:lvl>
    <w:lvl w:ilvl="4" w:tplc="04050003" w:tentative="1">
      <w:start w:val="1"/>
      <w:numFmt w:val="bullet"/>
      <w:lvlText w:val="o"/>
      <w:lvlJc w:val="left"/>
      <w:pPr>
        <w:ind w:left="4795" w:hanging="360"/>
      </w:pPr>
      <w:rPr>
        <w:rFonts w:ascii="Courier New" w:hAnsi="Courier New" w:cs="Courier New" w:hint="default"/>
      </w:rPr>
    </w:lvl>
    <w:lvl w:ilvl="5" w:tplc="04050005" w:tentative="1">
      <w:start w:val="1"/>
      <w:numFmt w:val="bullet"/>
      <w:lvlText w:val=""/>
      <w:lvlJc w:val="left"/>
      <w:pPr>
        <w:ind w:left="5515" w:hanging="360"/>
      </w:pPr>
      <w:rPr>
        <w:rFonts w:ascii="Wingdings" w:hAnsi="Wingdings" w:hint="default"/>
      </w:rPr>
    </w:lvl>
    <w:lvl w:ilvl="6" w:tplc="04050001" w:tentative="1">
      <w:start w:val="1"/>
      <w:numFmt w:val="bullet"/>
      <w:lvlText w:val=""/>
      <w:lvlJc w:val="left"/>
      <w:pPr>
        <w:ind w:left="6235" w:hanging="360"/>
      </w:pPr>
      <w:rPr>
        <w:rFonts w:ascii="Symbol" w:hAnsi="Symbol" w:hint="default"/>
      </w:rPr>
    </w:lvl>
    <w:lvl w:ilvl="7" w:tplc="04050003" w:tentative="1">
      <w:start w:val="1"/>
      <w:numFmt w:val="bullet"/>
      <w:lvlText w:val="o"/>
      <w:lvlJc w:val="left"/>
      <w:pPr>
        <w:ind w:left="6955" w:hanging="360"/>
      </w:pPr>
      <w:rPr>
        <w:rFonts w:ascii="Courier New" w:hAnsi="Courier New" w:cs="Courier New" w:hint="default"/>
      </w:rPr>
    </w:lvl>
    <w:lvl w:ilvl="8" w:tplc="04050005" w:tentative="1">
      <w:start w:val="1"/>
      <w:numFmt w:val="bullet"/>
      <w:lvlText w:val=""/>
      <w:lvlJc w:val="left"/>
      <w:pPr>
        <w:ind w:left="7675" w:hanging="360"/>
      </w:pPr>
      <w:rPr>
        <w:rFonts w:ascii="Wingdings" w:hAnsi="Wingding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D24C3B"/>
    <w:multiLevelType w:val="hybridMultilevel"/>
    <w:tmpl w:val="9300F3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3"/>
  </w:num>
  <w:num w:numId="5">
    <w:abstractNumId w:val="1"/>
  </w:num>
  <w:num w:numId="6">
    <w:abstractNumId w:val="8"/>
  </w:num>
  <w:num w:numId="7">
    <w:abstractNumId w:val="11"/>
  </w:num>
  <w:num w:numId="8">
    <w:abstractNumId w:val="9"/>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6"/>
  </w:num>
  <w:num w:numId="20">
    <w:abstractNumId w:val="0"/>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07256"/>
    <w:rsid w:val="0000758B"/>
    <w:rsid w:val="000115CD"/>
    <w:rsid w:val="00011AC7"/>
    <w:rsid w:val="0001355D"/>
    <w:rsid w:val="00015DBC"/>
    <w:rsid w:val="000174E8"/>
    <w:rsid w:val="00017F3C"/>
    <w:rsid w:val="000203DB"/>
    <w:rsid w:val="00025680"/>
    <w:rsid w:val="000259F7"/>
    <w:rsid w:val="00025F06"/>
    <w:rsid w:val="0002700C"/>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96ED4"/>
    <w:rsid w:val="000A3F8C"/>
    <w:rsid w:val="000B034E"/>
    <w:rsid w:val="000B12B0"/>
    <w:rsid w:val="000B20AE"/>
    <w:rsid w:val="000B4C49"/>
    <w:rsid w:val="000B4EB8"/>
    <w:rsid w:val="000B5300"/>
    <w:rsid w:val="000C2072"/>
    <w:rsid w:val="000C3CD6"/>
    <w:rsid w:val="000C41F2"/>
    <w:rsid w:val="000D0AE7"/>
    <w:rsid w:val="000D0DE7"/>
    <w:rsid w:val="000D22C4"/>
    <w:rsid w:val="000D27D1"/>
    <w:rsid w:val="000D5505"/>
    <w:rsid w:val="000D5E72"/>
    <w:rsid w:val="000D6762"/>
    <w:rsid w:val="000D7437"/>
    <w:rsid w:val="000E0B55"/>
    <w:rsid w:val="000E15C8"/>
    <w:rsid w:val="000E1A7F"/>
    <w:rsid w:val="000E25BA"/>
    <w:rsid w:val="000E4596"/>
    <w:rsid w:val="000E5F0B"/>
    <w:rsid w:val="000F4E40"/>
    <w:rsid w:val="001032AF"/>
    <w:rsid w:val="00106A0E"/>
    <w:rsid w:val="001077DE"/>
    <w:rsid w:val="001116DC"/>
    <w:rsid w:val="00112301"/>
    <w:rsid w:val="00112864"/>
    <w:rsid w:val="00112F94"/>
    <w:rsid w:val="00114472"/>
    <w:rsid w:val="00114988"/>
    <w:rsid w:val="00114A29"/>
    <w:rsid w:val="00115069"/>
    <w:rsid w:val="001150F2"/>
    <w:rsid w:val="00116813"/>
    <w:rsid w:val="0012084C"/>
    <w:rsid w:val="00124D0D"/>
    <w:rsid w:val="00132890"/>
    <w:rsid w:val="001332EF"/>
    <w:rsid w:val="00142F26"/>
    <w:rsid w:val="001463DA"/>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0C3C"/>
    <w:rsid w:val="00191F90"/>
    <w:rsid w:val="00192880"/>
    <w:rsid w:val="0019345F"/>
    <w:rsid w:val="00193D8F"/>
    <w:rsid w:val="001950C2"/>
    <w:rsid w:val="0019527B"/>
    <w:rsid w:val="00196E81"/>
    <w:rsid w:val="001B23A1"/>
    <w:rsid w:val="001B4B70"/>
    <w:rsid w:val="001B4E74"/>
    <w:rsid w:val="001B5ED5"/>
    <w:rsid w:val="001C3945"/>
    <w:rsid w:val="001C645F"/>
    <w:rsid w:val="001D0D67"/>
    <w:rsid w:val="001D4B4A"/>
    <w:rsid w:val="001D5DE6"/>
    <w:rsid w:val="001E03BE"/>
    <w:rsid w:val="001E08F5"/>
    <w:rsid w:val="001E0FB6"/>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51A5B"/>
    <w:rsid w:val="00255B94"/>
    <w:rsid w:val="00261024"/>
    <w:rsid w:val="00261A5B"/>
    <w:rsid w:val="002628F0"/>
    <w:rsid w:val="00262E5B"/>
    <w:rsid w:val="00263CBA"/>
    <w:rsid w:val="00266708"/>
    <w:rsid w:val="002670A6"/>
    <w:rsid w:val="00267CF3"/>
    <w:rsid w:val="00276660"/>
    <w:rsid w:val="00276AFE"/>
    <w:rsid w:val="00277264"/>
    <w:rsid w:val="00280CE6"/>
    <w:rsid w:val="00283302"/>
    <w:rsid w:val="00283675"/>
    <w:rsid w:val="002924B8"/>
    <w:rsid w:val="002945BB"/>
    <w:rsid w:val="002952C6"/>
    <w:rsid w:val="002A1957"/>
    <w:rsid w:val="002A3120"/>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5A18"/>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06B"/>
    <w:rsid w:val="0035531B"/>
    <w:rsid w:val="0035718D"/>
    <w:rsid w:val="003571D8"/>
    <w:rsid w:val="00357BC6"/>
    <w:rsid w:val="00360076"/>
    <w:rsid w:val="00360428"/>
    <w:rsid w:val="00361422"/>
    <w:rsid w:val="0036290F"/>
    <w:rsid w:val="00365158"/>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970E4"/>
    <w:rsid w:val="003A0E3D"/>
    <w:rsid w:val="003A4513"/>
    <w:rsid w:val="003B26BD"/>
    <w:rsid w:val="003B2F37"/>
    <w:rsid w:val="003B4E63"/>
    <w:rsid w:val="003B549F"/>
    <w:rsid w:val="003B596D"/>
    <w:rsid w:val="003C00AA"/>
    <w:rsid w:val="003C103D"/>
    <w:rsid w:val="003C33F2"/>
    <w:rsid w:val="003D0EE6"/>
    <w:rsid w:val="003D1A44"/>
    <w:rsid w:val="003D2162"/>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44DD4"/>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5C23"/>
    <w:rsid w:val="0048094F"/>
    <w:rsid w:val="00480CA0"/>
    <w:rsid w:val="00481047"/>
    <w:rsid w:val="004833D9"/>
    <w:rsid w:val="00483969"/>
    <w:rsid w:val="00484026"/>
    <w:rsid w:val="00485EAD"/>
    <w:rsid w:val="00486107"/>
    <w:rsid w:val="00491827"/>
    <w:rsid w:val="004A2610"/>
    <w:rsid w:val="004B34E9"/>
    <w:rsid w:val="004B4008"/>
    <w:rsid w:val="004B655F"/>
    <w:rsid w:val="004B7724"/>
    <w:rsid w:val="004C086E"/>
    <w:rsid w:val="004C1307"/>
    <w:rsid w:val="004C4399"/>
    <w:rsid w:val="004C787C"/>
    <w:rsid w:val="004D3B30"/>
    <w:rsid w:val="004D3DC5"/>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444"/>
    <w:rsid w:val="005406EB"/>
    <w:rsid w:val="00540DAC"/>
    <w:rsid w:val="00542A90"/>
    <w:rsid w:val="00544A85"/>
    <w:rsid w:val="00546FFB"/>
    <w:rsid w:val="00551DD4"/>
    <w:rsid w:val="00551E4C"/>
    <w:rsid w:val="00553375"/>
    <w:rsid w:val="00555884"/>
    <w:rsid w:val="00560665"/>
    <w:rsid w:val="00564DDD"/>
    <w:rsid w:val="00565F22"/>
    <w:rsid w:val="0056655E"/>
    <w:rsid w:val="005710BE"/>
    <w:rsid w:val="005736B7"/>
    <w:rsid w:val="00575D37"/>
    <w:rsid w:val="00575E5A"/>
    <w:rsid w:val="00577A3C"/>
    <w:rsid w:val="00580245"/>
    <w:rsid w:val="00581B17"/>
    <w:rsid w:val="00584AFA"/>
    <w:rsid w:val="00587D6D"/>
    <w:rsid w:val="005909AC"/>
    <w:rsid w:val="00595B2D"/>
    <w:rsid w:val="005971DD"/>
    <w:rsid w:val="005A1F44"/>
    <w:rsid w:val="005A3D2F"/>
    <w:rsid w:val="005B21D6"/>
    <w:rsid w:val="005B32D6"/>
    <w:rsid w:val="005B3472"/>
    <w:rsid w:val="005B5EA8"/>
    <w:rsid w:val="005B64BB"/>
    <w:rsid w:val="005C2C3B"/>
    <w:rsid w:val="005C4874"/>
    <w:rsid w:val="005C4D9E"/>
    <w:rsid w:val="005C55AA"/>
    <w:rsid w:val="005D0321"/>
    <w:rsid w:val="005D2120"/>
    <w:rsid w:val="005D3C39"/>
    <w:rsid w:val="005D4921"/>
    <w:rsid w:val="005E33AB"/>
    <w:rsid w:val="005E41B2"/>
    <w:rsid w:val="005E62AD"/>
    <w:rsid w:val="005F3817"/>
    <w:rsid w:val="005F5485"/>
    <w:rsid w:val="005F7739"/>
    <w:rsid w:val="0060115D"/>
    <w:rsid w:val="00601A8C"/>
    <w:rsid w:val="006023D7"/>
    <w:rsid w:val="0061068E"/>
    <w:rsid w:val="006113EE"/>
    <w:rsid w:val="00611407"/>
    <w:rsid w:val="006115D3"/>
    <w:rsid w:val="00616090"/>
    <w:rsid w:val="00623140"/>
    <w:rsid w:val="006238E7"/>
    <w:rsid w:val="006259F1"/>
    <w:rsid w:val="00626447"/>
    <w:rsid w:val="00626C82"/>
    <w:rsid w:val="00633DB6"/>
    <w:rsid w:val="00640B30"/>
    <w:rsid w:val="00642162"/>
    <w:rsid w:val="0064370B"/>
    <w:rsid w:val="0064673D"/>
    <w:rsid w:val="00655976"/>
    <w:rsid w:val="0065610E"/>
    <w:rsid w:val="00660AD3"/>
    <w:rsid w:val="00660BEB"/>
    <w:rsid w:val="00665F2C"/>
    <w:rsid w:val="006720FB"/>
    <w:rsid w:val="006776B6"/>
    <w:rsid w:val="00677E3B"/>
    <w:rsid w:val="0068075C"/>
    <w:rsid w:val="00686462"/>
    <w:rsid w:val="00687091"/>
    <w:rsid w:val="00687E10"/>
    <w:rsid w:val="006905B0"/>
    <w:rsid w:val="00693150"/>
    <w:rsid w:val="00693188"/>
    <w:rsid w:val="00695DAA"/>
    <w:rsid w:val="006A0713"/>
    <w:rsid w:val="006A307F"/>
    <w:rsid w:val="006A548C"/>
    <w:rsid w:val="006A54CB"/>
    <w:rsid w:val="006A5570"/>
    <w:rsid w:val="006A689C"/>
    <w:rsid w:val="006A6AF2"/>
    <w:rsid w:val="006A7D19"/>
    <w:rsid w:val="006B01BF"/>
    <w:rsid w:val="006B1F61"/>
    <w:rsid w:val="006B395C"/>
    <w:rsid w:val="006B3D79"/>
    <w:rsid w:val="006B54DD"/>
    <w:rsid w:val="006B6FE4"/>
    <w:rsid w:val="006C04A0"/>
    <w:rsid w:val="006C2343"/>
    <w:rsid w:val="006C442A"/>
    <w:rsid w:val="006C4AD3"/>
    <w:rsid w:val="006D34B2"/>
    <w:rsid w:val="006D36C4"/>
    <w:rsid w:val="006D5DF5"/>
    <w:rsid w:val="006E0578"/>
    <w:rsid w:val="006E314D"/>
    <w:rsid w:val="006E449B"/>
    <w:rsid w:val="006E6247"/>
    <w:rsid w:val="006E66E8"/>
    <w:rsid w:val="006F67BA"/>
    <w:rsid w:val="006F6B09"/>
    <w:rsid w:val="007014B0"/>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B2"/>
    <w:rsid w:val="00740AF5"/>
    <w:rsid w:val="00743525"/>
    <w:rsid w:val="00744F6A"/>
    <w:rsid w:val="00745555"/>
    <w:rsid w:val="00746028"/>
    <w:rsid w:val="007476A8"/>
    <w:rsid w:val="00750128"/>
    <w:rsid w:val="00750F50"/>
    <w:rsid w:val="007541A2"/>
    <w:rsid w:val="00755818"/>
    <w:rsid w:val="0075602A"/>
    <w:rsid w:val="0076286B"/>
    <w:rsid w:val="00762C0E"/>
    <w:rsid w:val="00766846"/>
    <w:rsid w:val="0076790E"/>
    <w:rsid w:val="0077218F"/>
    <w:rsid w:val="00773DC0"/>
    <w:rsid w:val="0077427F"/>
    <w:rsid w:val="00775C7F"/>
    <w:rsid w:val="0077673A"/>
    <w:rsid w:val="00776A8A"/>
    <w:rsid w:val="00780693"/>
    <w:rsid w:val="007846E1"/>
    <w:rsid w:val="007847D6"/>
    <w:rsid w:val="00792824"/>
    <w:rsid w:val="00797E05"/>
    <w:rsid w:val="007A0923"/>
    <w:rsid w:val="007A2107"/>
    <w:rsid w:val="007A5172"/>
    <w:rsid w:val="007A67A0"/>
    <w:rsid w:val="007B3D4D"/>
    <w:rsid w:val="007B570C"/>
    <w:rsid w:val="007B6941"/>
    <w:rsid w:val="007C0613"/>
    <w:rsid w:val="007C21AA"/>
    <w:rsid w:val="007C2BEC"/>
    <w:rsid w:val="007C38F4"/>
    <w:rsid w:val="007D0559"/>
    <w:rsid w:val="007D4F89"/>
    <w:rsid w:val="007D5A8D"/>
    <w:rsid w:val="007E1529"/>
    <w:rsid w:val="007E2072"/>
    <w:rsid w:val="007E2234"/>
    <w:rsid w:val="007E2FBE"/>
    <w:rsid w:val="007E4A6E"/>
    <w:rsid w:val="007E6028"/>
    <w:rsid w:val="007F0310"/>
    <w:rsid w:val="007F1CE2"/>
    <w:rsid w:val="007F4E67"/>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0F40"/>
    <w:rsid w:val="00885968"/>
    <w:rsid w:val="00885C00"/>
    <w:rsid w:val="00887139"/>
    <w:rsid w:val="00887F36"/>
    <w:rsid w:val="00890596"/>
    <w:rsid w:val="00890A00"/>
    <w:rsid w:val="00893119"/>
    <w:rsid w:val="00894D65"/>
    <w:rsid w:val="00896E31"/>
    <w:rsid w:val="008970AF"/>
    <w:rsid w:val="008A25A4"/>
    <w:rsid w:val="008A3568"/>
    <w:rsid w:val="008A5B22"/>
    <w:rsid w:val="008B04F2"/>
    <w:rsid w:val="008B2021"/>
    <w:rsid w:val="008B70C7"/>
    <w:rsid w:val="008C4A48"/>
    <w:rsid w:val="008C50F3"/>
    <w:rsid w:val="008C65BC"/>
    <w:rsid w:val="008C65E0"/>
    <w:rsid w:val="008C6B92"/>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3A7"/>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1CBC"/>
    <w:rsid w:val="009A23F0"/>
    <w:rsid w:val="009A3611"/>
    <w:rsid w:val="009A48A2"/>
    <w:rsid w:val="009A7A46"/>
    <w:rsid w:val="009B0879"/>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9F6879"/>
    <w:rsid w:val="00A0253D"/>
    <w:rsid w:val="00A02DB9"/>
    <w:rsid w:val="00A041DF"/>
    <w:rsid w:val="00A0740E"/>
    <w:rsid w:val="00A1096E"/>
    <w:rsid w:val="00A15262"/>
    <w:rsid w:val="00A159AC"/>
    <w:rsid w:val="00A167E7"/>
    <w:rsid w:val="00A16C3A"/>
    <w:rsid w:val="00A23688"/>
    <w:rsid w:val="00A243F2"/>
    <w:rsid w:val="00A256E5"/>
    <w:rsid w:val="00A2681A"/>
    <w:rsid w:val="00A26B92"/>
    <w:rsid w:val="00A31809"/>
    <w:rsid w:val="00A32E01"/>
    <w:rsid w:val="00A3411F"/>
    <w:rsid w:val="00A358BF"/>
    <w:rsid w:val="00A374FC"/>
    <w:rsid w:val="00A4050F"/>
    <w:rsid w:val="00A41C1F"/>
    <w:rsid w:val="00A50641"/>
    <w:rsid w:val="00A524B4"/>
    <w:rsid w:val="00A530BF"/>
    <w:rsid w:val="00A6177B"/>
    <w:rsid w:val="00A65174"/>
    <w:rsid w:val="00A66136"/>
    <w:rsid w:val="00A71189"/>
    <w:rsid w:val="00A7364A"/>
    <w:rsid w:val="00A7389A"/>
    <w:rsid w:val="00A74AA8"/>
    <w:rsid w:val="00A74DCC"/>
    <w:rsid w:val="00A753ED"/>
    <w:rsid w:val="00A757AD"/>
    <w:rsid w:val="00A77512"/>
    <w:rsid w:val="00A820EB"/>
    <w:rsid w:val="00A847A9"/>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4832"/>
    <w:rsid w:val="00AD5F1A"/>
    <w:rsid w:val="00AD6731"/>
    <w:rsid w:val="00AD792A"/>
    <w:rsid w:val="00AE1D4A"/>
    <w:rsid w:val="00AE3BB4"/>
    <w:rsid w:val="00AE485F"/>
    <w:rsid w:val="00AE4BAD"/>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477F"/>
    <w:rsid w:val="00B477DA"/>
    <w:rsid w:val="00B52819"/>
    <w:rsid w:val="00B5431A"/>
    <w:rsid w:val="00B54465"/>
    <w:rsid w:val="00B60046"/>
    <w:rsid w:val="00B61530"/>
    <w:rsid w:val="00B61989"/>
    <w:rsid w:val="00B67AD5"/>
    <w:rsid w:val="00B70120"/>
    <w:rsid w:val="00B71CC3"/>
    <w:rsid w:val="00B752B6"/>
    <w:rsid w:val="00B75EE1"/>
    <w:rsid w:val="00B77393"/>
    <w:rsid w:val="00B77481"/>
    <w:rsid w:val="00B77C6D"/>
    <w:rsid w:val="00B8009C"/>
    <w:rsid w:val="00B80D2D"/>
    <w:rsid w:val="00B80E53"/>
    <w:rsid w:val="00B8518B"/>
    <w:rsid w:val="00B855D5"/>
    <w:rsid w:val="00B86933"/>
    <w:rsid w:val="00B966AA"/>
    <w:rsid w:val="00B971BD"/>
    <w:rsid w:val="00B97CC3"/>
    <w:rsid w:val="00BA3937"/>
    <w:rsid w:val="00BB0379"/>
    <w:rsid w:val="00BB283A"/>
    <w:rsid w:val="00BB3CA7"/>
    <w:rsid w:val="00BB4AF2"/>
    <w:rsid w:val="00BB7F53"/>
    <w:rsid w:val="00BC06C4"/>
    <w:rsid w:val="00BC12B5"/>
    <w:rsid w:val="00BC30F5"/>
    <w:rsid w:val="00BC376A"/>
    <w:rsid w:val="00BC4D5B"/>
    <w:rsid w:val="00BC6D2B"/>
    <w:rsid w:val="00BD11CE"/>
    <w:rsid w:val="00BD51C4"/>
    <w:rsid w:val="00BD7498"/>
    <w:rsid w:val="00BD7E91"/>
    <w:rsid w:val="00BD7F0D"/>
    <w:rsid w:val="00BE3236"/>
    <w:rsid w:val="00BE49F4"/>
    <w:rsid w:val="00BF0C8A"/>
    <w:rsid w:val="00BF2A73"/>
    <w:rsid w:val="00BF2F6F"/>
    <w:rsid w:val="00BF38F9"/>
    <w:rsid w:val="00BF57D9"/>
    <w:rsid w:val="00C01E17"/>
    <w:rsid w:val="00C02D0A"/>
    <w:rsid w:val="00C03A6E"/>
    <w:rsid w:val="00C07CB0"/>
    <w:rsid w:val="00C1197B"/>
    <w:rsid w:val="00C12FC0"/>
    <w:rsid w:val="00C13DAE"/>
    <w:rsid w:val="00C154A5"/>
    <w:rsid w:val="00C17D66"/>
    <w:rsid w:val="00C21EE4"/>
    <w:rsid w:val="00C21FCD"/>
    <w:rsid w:val="00C21FDC"/>
    <w:rsid w:val="00C226C0"/>
    <w:rsid w:val="00C23EB8"/>
    <w:rsid w:val="00C23F40"/>
    <w:rsid w:val="00C370EE"/>
    <w:rsid w:val="00C4078E"/>
    <w:rsid w:val="00C42FE6"/>
    <w:rsid w:val="00C43A07"/>
    <w:rsid w:val="00C44F6A"/>
    <w:rsid w:val="00C541B4"/>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70D7"/>
    <w:rsid w:val="00D10A2D"/>
    <w:rsid w:val="00D10F92"/>
    <w:rsid w:val="00D12B1F"/>
    <w:rsid w:val="00D139AC"/>
    <w:rsid w:val="00D16891"/>
    <w:rsid w:val="00D1696D"/>
    <w:rsid w:val="00D1751A"/>
    <w:rsid w:val="00D20E67"/>
    <w:rsid w:val="00D21061"/>
    <w:rsid w:val="00D218E6"/>
    <w:rsid w:val="00D221E1"/>
    <w:rsid w:val="00D245DF"/>
    <w:rsid w:val="00D25D67"/>
    <w:rsid w:val="00D26838"/>
    <w:rsid w:val="00D302E5"/>
    <w:rsid w:val="00D36C50"/>
    <w:rsid w:val="00D37B14"/>
    <w:rsid w:val="00D4108E"/>
    <w:rsid w:val="00D46655"/>
    <w:rsid w:val="00D500B1"/>
    <w:rsid w:val="00D52BA7"/>
    <w:rsid w:val="00D57321"/>
    <w:rsid w:val="00D5757D"/>
    <w:rsid w:val="00D6163D"/>
    <w:rsid w:val="00D616AC"/>
    <w:rsid w:val="00D6259C"/>
    <w:rsid w:val="00D65443"/>
    <w:rsid w:val="00D66F73"/>
    <w:rsid w:val="00D67AED"/>
    <w:rsid w:val="00D76C04"/>
    <w:rsid w:val="00D7784F"/>
    <w:rsid w:val="00D81076"/>
    <w:rsid w:val="00D831A3"/>
    <w:rsid w:val="00D84986"/>
    <w:rsid w:val="00D8539D"/>
    <w:rsid w:val="00D86117"/>
    <w:rsid w:val="00D91145"/>
    <w:rsid w:val="00D91EA6"/>
    <w:rsid w:val="00D97BE3"/>
    <w:rsid w:val="00DA3711"/>
    <w:rsid w:val="00DA7205"/>
    <w:rsid w:val="00DB3375"/>
    <w:rsid w:val="00DB619A"/>
    <w:rsid w:val="00DC0557"/>
    <w:rsid w:val="00DC3174"/>
    <w:rsid w:val="00DD0C7C"/>
    <w:rsid w:val="00DD46F3"/>
    <w:rsid w:val="00DD57C7"/>
    <w:rsid w:val="00DD63D8"/>
    <w:rsid w:val="00DD7398"/>
    <w:rsid w:val="00DD7A41"/>
    <w:rsid w:val="00DD7F02"/>
    <w:rsid w:val="00DE0C9E"/>
    <w:rsid w:val="00DE51A5"/>
    <w:rsid w:val="00DE56F2"/>
    <w:rsid w:val="00DF0B72"/>
    <w:rsid w:val="00DF116D"/>
    <w:rsid w:val="00DF2665"/>
    <w:rsid w:val="00DF651A"/>
    <w:rsid w:val="00DF7C21"/>
    <w:rsid w:val="00E01EA1"/>
    <w:rsid w:val="00E035F5"/>
    <w:rsid w:val="00E0622B"/>
    <w:rsid w:val="00E115A2"/>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48C8"/>
    <w:rsid w:val="00E60C4A"/>
    <w:rsid w:val="00E618C4"/>
    <w:rsid w:val="00E64245"/>
    <w:rsid w:val="00E67713"/>
    <w:rsid w:val="00E67D40"/>
    <w:rsid w:val="00E7218A"/>
    <w:rsid w:val="00E77054"/>
    <w:rsid w:val="00E80465"/>
    <w:rsid w:val="00E8058C"/>
    <w:rsid w:val="00E8187E"/>
    <w:rsid w:val="00E84EB9"/>
    <w:rsid w:val="00E84F3D"/>
    <w:rsid w:val="00E878EE"/>
    <w:rsid w:val="00E948C0"/>
    <w:rsid w:val="00EA6EC7"/>
    <w:rsid w:val="00EA7F3A"/>
    <w:rsid w:val="00EB104F"/>
    <w:rsid w:val="00EB152B"/>
    <w:rsid w:val="00EB35CB"/>
    <w:rsid w:val="00EB46E5"/>
    <w:rsid w:val="00EB4ECA"/>
    <w:rsid w:val="00EB5D4D"/>
    <w:rsid w:val="00EB6E2F"/>
    <w:rsid w:val="00EC03BD"/>
    <w:rsid w:val="00EC0AC2"/>
    <w:rsid w:val="00EC10AE"/>
    <w:rsid w:val="00EC1CEA"/>
    <w:rsid w:val="00EC2B14"/>
    <w:rsid w:val="00EC3176"/>
    <w:rsid w:val="00EC3580"/>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35C"/>
    <w:rsid w:val="00F30EB4"/>
    <w:rsid w:val="00F310F8"/>
    <w:rsid w:val="00F32148"/>
    <w:rsid w:val="00F35939"/>
    <w:rsid w:val="00F36DE7"/>
    <w:rsid w:val="00F427E8"/>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0B5"/>
    <w:rsid w:val="00FA64F2"/>
    <w:rsid w:val="00FB4C0F"/>
    <w:rsid w:val="00FB6342"/>
    <w:rsid w:val="00FC280A"/>
    <w:rsid w:val="00FC6389"/>
    <w:rsid w:val="00FC661E"/>
    <w:rsid w:val="00FC7092"/>
    <w:rsid w:val="00FC7398"/>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B88F68-7E5A-4ABE-8BC3-9621E16F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41</Pages>
  <Words>17350</Words>
  <Characters>102369</Characters>
  <Application>Microsoft Office Word</Application>
  <DocSecurity>0</DocSecurity>
  <Lines>853</Lines>
  <Paragraphs>238</Paragraphs>
  <ScaleCrop>false</ScaleCrop>
  <HeadingPairs>
    <vt:vector size="8" baseType="variant">
      <vt:variant>
        <vt:lpstr>Název</vt:lpstr>
      </vt:variant>
      <vt:variant>
        <vt:i4>1</vt:i4>
      </vt:variant>
      <vt:variant>
        <vt:lpstr>Nadpisy</vt:lpstr>
      </vt:variant>
      <vt:variant>
        <vt:i4>25</vt:i4>
      </vt:variant>
      <vt:variant>
        <vt:lpstr>Title</vt:lpstr>
      </vt:variant>
      <vt:variant>
        <vt:i4>1</vt:i4>
      </vt:variant>
      <vt:variant>
        <vt:lpstr>Headings</vt:lpstr>
      </vt:variant>
      <vt:variant>
        <vt:i4>3</vt:i4>
      </vt:variant>
    </vt:vector>
  </HeadingPairs>
  <TitlesOfParts>
    <vt:vector size="30" baseType="lpstr">
      <vt:lpstr/>
      <vt:lpstr>ÚVODNÍ USTANOVENÍ</vt:lpstr>
      <vt:lpstr>IDENTIFIKAČNÍ ÚDAJE ZADAVATELE</vt:lpstr>
      <vt:lpstr>KOMUNIKACE MEZI ZADAVATELEM a DODAVATELEM </vt:lpstr>
      <vt:lpstr>ÚČEL A PŘEDMĚT PLNĚNÍ VEŘEJNÉ ZAKÁZKY</vt:lpstr>
      <vt:lpstr>Účelem veřejné zakázky je instalace SMART zastávek. Tato služba cestující veřejn</vt:lpstr>
      <vt:lpstr>cestující veřejnost, a to pravidelně využívající železniční dopravu nebo náhodné</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PROHLÍDKA MÍSTA PLNĚNÍ (STAVENIŠTĚ)</vt:lpstr>
      <vt:lpstr>JAZYK NABÍDEK A KOMUNIKAČNÍ JAZYK</vt:lpstr>
      <vt:lpstr>OBSAH A PODÁVÁNÍ NABÍDEK</vt:lpstr>
      <vt:lpstr>POŽADAVKY NA ZPRACOVÁNÍ NABÍDKOVÉ CENY </vt:lpstr>
      <vt:lpstr>VARIANTY NABÍDKY, VÝHRADA ZMĚNY DODAVATELE </vt:lpstr>
      <vt:lpstr>OTEVÍRÁNÍ NABÍDEK </vt:lpstr>
      <vt:lpstr>POSOUZENÍ SPLNĚNÍ PODMÍNEK ÚČASTI</vt:lpstr>
      <vt:lpstr>HODNOCENÍ NABÍDEK</vt:lpstr>
      <vt:lpstr>ZRUŠENÍ VÝBĚROVÉHO ŘÍZENÍ</vt:lpstr>
      <vt:lpstr>UZAVŘENÍ SMLOUVY</vt:lpstr>
      <vt:lpstr>OCHRANA INFORMACÍ</vt:lpstr>
      <vt:lpstr>SOCIÁLNĚ A ENVIRONMENTÁLNĚ ODPOVĚDNÉ ZADÁVÁNÍ, INOVACE</vt:lpstr>
      <vt:lpstr>Další zadávací podmínky v návaznosti na MEZINÁRODNÍ sankce </vt:lpstr>
      <vt:lpstr>PŘÍLOHY TÉTO VÝZVY</vt:lpstr>
      <vt:lpstr/>
      <vt:lpstr>Titulek 1. úrovně </vt:lpstr>
      <vt:lpstr>    Titulek 2. úrovně</vt:lpstr>
      <vt:lpstr>        Titulek 3. úrovně</vt:lpstr>
    </vt:vector>
  </TitlesOfParts>
  <Company>SŽDC s.o.</Company>
  <LinksUpToDate>false</LinksUpToDate>
  <CharactersWithSpaces>119481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11</cp:revision>
  <cp:lastPrinted>2023-04-06T11:28:00Z</cp:lastPrinted>
  <dcterms:created xsi:type="dcterms:W3CDTF">2023-03-29T11:31:00Z</dcterms:created>
  <dcterms:modified xsi:type="dcterms:W3CDTF">2023-04-06T11:50:00Z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