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AE1802">
        <w:rPr>
          <w:rFonts w:ascii="Verdana" w:hAnsi="Verdana"/>
          <w:b/>
          <w:sz w:val="18"/>
          <w:szCs w:val="18"/>
        </w:rPr>
        <w:t>Oprava osvětlení v žst. Frýdek Místek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</w:t>
      </w:r>
      <w:r w:rsidR="00995B37">
        <w:rPr>
          <w:rFonts w:ascii="Verdana" w:hAnsi="Verdana"/>
          <w:sz w:val="18"/>
          <w:szCs w:val="18"/>
        </w:rPr>
        <w:t>ajemství“ a „občanský zákoník),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</w:t>
      </w:r>
      <w:r w:rsidR="00995B37">
        <w:rPr>
          <w:rFonts w:ascii="Verdana" w:hAnsi="Verdana"/>
          <w:sz w:val="18"/>
          <w:szCs w:val="18"/>
        </w:rPr>
        <w:t>rany zadavatele nebo účastníka.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bookmarkStart w:id="0" w:name="_GoBack"/>
      <w:bookmarkEnd w:id="0"/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B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B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5B37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1802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A84FB3A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DA9184-E8B5-466F-B299-8D1310825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2018-11-26T13:17:00Z</dcterms:created>
  <dcterms:modified xsi:type="dcterms:W3CDTF">2023-03-22T13:23:00Z</dcterms:modified>
</cp:coreProperties>
</file>