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0F121519" w:rsidR="00F20995"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5432BF1B"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F236E5">
        <w:rPr>
          <w:rFonts w:eastAsia="Times New Roman" w:cs="Times New Roman"/>
          <w:b/>
          <w:lang w:eastAsia="cs-CZ"/>
        </w:rPr>
        <w:t>6542</w:t>
      </w:r>
      <w:r w:rsidR="004D38C1" w:rsidRPr="00F236E5">
        <w:rPr>
          <w:rFonts w:eastAsia="Times New Roman" w:cs="Times New Roman"/>
          <w:b/>
          <w:lang w:eastAsia="cs-CZ"/>
        </w:rPr>
        <w:t>3</w:t>
      </w:r>
      <w:r w:rsidR="00F236E5" w:rsidRPr="00F236E5">
        <w:rPr>
          <w:rFonts w:eastAsia="Times New Roman" w:cs="Times New Roman"/>
          <w:b/>
          <w:lang w:eastAsia="cs-CZ"/>
        </w:rPr>
        <w:t>019</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F236E5">
        <w:t>na základě 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F236E5">
        <w:rPr>
          <w:rFonts w:ascii="Verdana" w:hAnsi="Verdana" w:cstheme="minorHAnsi"/>
          <w:sz w:val="18"/>
          <w:szCs w:val="18"/>
        </w:rPr>
        <w:t>číslo účtu:</w:t>
      </w:r>
      <w:r w:rsidRPr="00F236E5">
        <w:rPr>
          <w:rFonts w:ascii="Verdana" w:hAnsi="Verdana" w:cstheme="minorHAnsi"/>
          <w:sz w:val="18"/>
          <w:szCs w:val="18"/>
        </w:rPr>
        <w:tab/>
      </w:r>
      <w:r w:rsidRPr="00F236E5">
        <w:rPr>
          <w:rFonts w:ascii="Verdana" w:hAnsi="Verdana" w:cstheme="minorHAnsi"/>
          <w:sz w:val="18"/>
          <w:szCs w:val="18"/>
        </w:rPr>
        <w:tab/>
      </w:r>
      <w:r w:rsidR="000A54CF" w:rsidRPr="00F236E5">
        <w:rPr>
          <w:rFonts w:asciiTheme="majorHAnsi" w:hAnsiTheme="majorHAnsi"/>
          <w:sz w:val="18"/>
          <w:szCs w:val="18"/>
        </w:rPr>
        <w:t>70009-</w:t>
      </w:r>
      <w:r w:rsidR="000A54CF" w:rsidRPr="00F236E5">
        <w:rPr>
          <w:rFonts w:ascii="Verdana" w:hAnsi="Verdana" w:cstheme="minorHAnsi"/>
          <w:sz w:val="18"/>
          <w:szCs w:val="18"/>
        </w:rPr>
        <w:t>00</w:t>
      </w:r>
      <w:r w:rsidRPr="00F236E5">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57677153" w:rsidR="00D85C5B" w:rsidRPr="000C5DA0" w:rsidRDefault="00D85C5B" w:rsidP="002B378D">
      <w:pPr>
        <w:rPr>
          <w:lang w:eastAsia="cs-CZ"/>
        </w:rPr>
      </w:pPr>
      <w:r w:rsidRPr="005A58BC">
        <w:rPr>
          <w:lang w:eastAsia="cs-CZ"/>
        </w:rPr>
        <w:t>Tato smlouva je uzavřena na základě výsledků zadávacího řízení veřejné zakázky s názvem „</w:t>
      </w:r>
      <w:r w:rsidR="00F236E5" w:rsidRPr="005A58BC">
        <w:rPr>
          <w:lang w:eastAsia="cs-CZ"/>
        </w:rPr>
        <w:t>Oprava TNS Velešín</w:t>
      </w:r>
      <w:r w:rsidR="005B2661" w:rsidRPr="005A58BC">
        <w:rPr>
          <w:lang w:eastAsia="cs-CZ"/>
        </w:rPr>
        <w:t>“</w:t>
      </w:r>
      <w:r w:rsidRPr="005A58BC">
        <w:rPr>
          <w:lang w:eastAsia="cs-CZ"/>
        </w:rPr>
        <w:t>,</w:t>
      </w:r>
      <w:r w:rsidR="005B2661" w:rsidRPr="005A58BC">
        <w:rPr>
          <w:lang w:eastAsia="cs-CZ"/>
        </w:rPr>
        <w:t xml:space="preserve"> </w:t>
      </w:r>
      <w:r w:rsidR="001C22E7" w:rsidRPr="005A58BC">
        <w:rPr>
          <w:rFonts w:eastAsia="Times New Roman" w:cs="Times New Roman"/>
          <w:lang w:eastAsia="cs-CZ"/>
        </w:rPr>
        <w:t>č.</w:t>
      </w:r>
      <w:r w:rsidR="005B2661" w:rsidRPr="005A58BC">
        <w:rPr>
          <w:rFonts w:eastAsia="Times New Roman" w:cs="Times New Roman"/>
          <w:lang w:eastAsia="cs-CZ"/>
        </w:rPr>
        <w:t xml:space="preserve"> </w:t>
      </w:r>
      <w:r w:rsidR="001C22E7" w:rsidRPr="005A58BC">
        <w:rPr>
          <w:rFonts w:eastAsia="Times New Roman" w:cs="Times New Roman"/>
          <w:lang w:eastAsia="cs-CZ"/>
        </w:rPr>
        <w:t>j. veřejné zakázky</w:t>
      </w:r>
      <w:r w:rsidR="00F20995" w:rsidRPr="005A58BC">
        <w:rPr>
          <w:rFonts w:eastAsia="Times New Roman" w:cs="Times New Roman"/>
          <w:lang w:eastAsia="cs-CZ"/>
        </w:rPr>
        <w:t xml:space="preserve"> </w:t>
      </w:r>
      <w:r w:rsidR="00F236E5" w:rsidRPr="005A58BC">
        <w:rPr>
          <w:rFonts w:eastAsia="Times New Roman" w:cs="Times New Roman"/>
          <w:lang w:eastAsia="cs-CZ"/>
        </w:rPr>
        <w:t>7306/2023-SŽ-OŘ PLZ-ÚPI</w:t>
      </w:r>
      <w:r w:rsidR="001C22E7" w:rsidRPr="005A58BC">
        <w:rPr>
          <w:rFonts w:eastAsia="Times New Roman" w:cs="Times New Roman"/>
          <w:lang w:eastAsia="cs-CZ"/>
        </w:rPr>
        <w:t xml:space="preserve"> </w:t>
      </w:r>
      <w:r w:rsidRPr="005A58BC">
        <w:rPr>
          <w:lang w:eastAsia="cs-CZ"/>
        </w:rPr>
        <w:t>(dále jen „veřejná</w:t>
      </w:r>
      <w:r w:rsidRPr="004E19DE">
        <w:rPr>
          <w:lang w:eastAsia="cs-CZ"/>
        </w:rPr>
        <w:t xml:space="preserve">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7F561C61" w:rsidR="00D85C5B" w:rsidRPr="000E4F4B" w:rsidRDefault="00D85C5B" w:rsidP="007F5EC4">
      <w:pPr>
        <w:pStyle w:val="Nadpis1"/>
      </w:pPr>
      <w:r w:rsidRPr="000E4F4B">
        <w:t xml:space="preserve">Předmět </w:t>
      </w:r>
      <w:r w:rsidR="005A58BC">
        <w:t>dodávky</w:t>
      </w:r>
    </w:p>
    <w:p w14:paraId="1CC662D5" w14:textId="4A2146F8"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je </w:t>
      </w:r>
      <w:r w:rsidR="005A58BC">
        <w:rPr>
          <w:rFonts w:eastAsia="Times New Roman" w:cs="Times New Roman"/>
          <w:lang w:eastAsia="cs-CZ"/>
        </w:rPr>
        <w:t>dodání</w:t>
      </w:r>
      <w:r w:rsidR="00A81A72">
        <w:rPr>
          <w:rFonts w:eastAsia="Times New Roman" w:cs="Times New Roman"/>
          <w:lang w:eastAsia="cs-CZ"/>
        </w:rPr>
        <w:t xml:space="preserve"> a montáž ochran</w:t>
      </w:r>
      <w:r w:rsidR="005A58BC">
        <w:rPr>
          <w:rFonts w:eastAsia="Times New Roman" w:cs="Times New Roman"/>
          <w:lang w:eastAsia="cs-CZ"/>
        </w:rPr>
        <w:t xml:space="preserve"> trakční napájecí stanice</w:t>
      </w:r>
      <w:r w:rsidR="00D85C5B" w:rsidRPr="00B74357">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5A58BC"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A58BC">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5A58BC"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5A58BC">
        <w:rPr>
          <w:rFonts w:eastAsia="Times New Roman" w:cs="Times New Roman"/>
          <w:lang w:eastAsia="cs-CZ"/>
        </w:rPr>
        <w:t>doručený v listinné podobě.</w:t>
      </w:r>
    </w:p>
    <w:p w14:paraId="2DB3D38A" w14:textId="04BB642B"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A58BC">
        <w:rPr>
          <w:rFonts w:eastAsia="Times New Roman" w:cs="Times New Roman"/>
          <w:lang w:eastAsia="cs-CZ"/>
        </w:rPr>
        <w:t xml:space="preserve">Splatnost </w:t>
      </w:r>
      <w:r w:rsidR="0049794E" w:rsidRPr="005A58BC">
        <w:rPr>
          <w:rFonts w:eastAsia="Times New Roman" w:cs="Times New Roman"/>
          <w:lang w:eastAsia="cs-CZ"/>
        </w:rPr>
        <w:t>daňového dokladu (</w:t>
      </w:r>
      <w:r w:rsidRPr="005A58BC">
        <w:rPr>
          <w:rFonts w:eastAsia="Times New Roman" w:cs="Times New Roman"/>
          <w:lang w:eastAsia="cs-CZ"/>
        </w:rPr>
        <w:t>faktury</w:t>
      </w:r>
      <w:r w:rsidR="0049794E" w:rsidRPr="005A58BC">
        <w:rPr>
          <w:rFonts w:eastAsia="Times New Roman" w:cs="Times New Roman"/>
          <w:lang w:eastAsia="cs-CZ"/>
        </w:rPr>
        <w:t>)</w:t>
      </w:r>
      <w:r w:rsidRPr="005A58BC">
        <w:rPr>
          <w:rFonts w:eastAsia="Times New Roman" w:cs="Times New Roman"/>
          <w:lang w:eastAsia="cs-CZ"/>
        </w:rPr>
        <w:t xml:space="preserve"> se sjednává na 30 kalendářních dnů od jejího písemného doručení Kupujícímu. V případě, že faktura nebude</w:t>
      </w:r>
      <w:r w:rsidRPr="00272F27">
        <w:rPr>
          <w:rFonts w:eastAsia="Times New Roman" w:cs="Times New Roman"/>
          <w:lang w:eastAsia="cs-CZ"/>
        </w:rPr>
        <w:t xml:space="preserv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4EA06EE2"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5A58BC">
        <w:rPr>
          <w:rFonts w:eastAsia="Times New Roman" w:cs="Times New Roman"/>
          <w:lang w:eastAsia="cs-CZ"/>
        </w:rPr>
        <w:t xml:space="preserve">v km 94,250 trati Horní Dvořiště – České Budějovice. </w:t>
      </w:r>
    </w:p>
    <w:p w14:paraId="4DF986BE" w14:textId="77777777" w:rsidR="005A58BC" w:rsidRPr="00461E5B" w:rsidRDefault="00D85C5B" w:rsidP="005A58BC">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w:t>
      </w:r>
      <w:r w:rsidRPr="00461E5B">
        <w:rPr>
          <w:rFonts w:eastAsia="Times New Roman" w:cs="Times New Roman"/>
          <w:lang w:eastAsia="cs-CZ"/>
        </w:rPr>
        <w:t>do</w:t>
      </w:r>
      <w:r w:rsidR="005A58BC" w:rsidRPr="00461E5B">
        <w:rPr>
          <w:rFonts w:eastAsia="Times New Roman" w:cs="Times New Roman"/>
          <w:lang w:eastAsia="cs-CZ"/>
        </w:rPr>
        <w:t xml:space="preserve"> 30. 11. 2023.</w:t>
      </w:r>
    </w:p>
    <w:p w14:paraId="4CBEDFD5" w14:textId="7C5B8BFA" w:rsidR="00461E5B" w:rsidRPr="00BF026F" w:rsidRDefault="00461E5B" w:rsidP="00461E5B">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461E5B">
        <w:rPr>
          <w:rFonts w:eastAsia="Times New Roman" w:cs="Times New Roman"/>
          <w:lang w:eastAsia="cs-CZ"/>
        </w:rPr>
        <w:t>O předání bude vyhotoven předávací protokol podepsaný oběma Smluvními stranami. Pro předání a převzetí předmětu koupě jsou</w:t>
      </w:r>
      <w:r w:rsidRPr="00BF026F">
        <w:rPr>
          <w:rFonts w:eastAsia="Times New Roman" w:cs="Times New Roman"/>
          <w:lang w:eastAsia="cs-CZ"/>
        </w:rPr>
        <w:t xml:space="preserve"> určen</w:t>
      </w:r>
      <w:r>
        <w:rPr>
          <w:rFonts w:eastAsia="Times New Roman" w:cs="Times New Roman"/>
          <w:lang w:eastAsia="cs-CZ"/>
        </w:rPr>
        <w:t>y</w:t>
      </w:r>
      <w:r w:rsidRPr="00BF026F">
        <w:rPr>
          <w:rFonts w:eastAsia="Times New Roman" w:cs="Times New Roman"/>
          <w:lang w:eastAsia="cs-CZ"/>
        </w:rPr>
        <w:t xml:space="preserve"> následující kontaktní osoby:</w:t>
      </w:r>
    </w:p>
    <w:p w14:paraId="519DD362" w14:textId="77777777" w:rsidR="00461E5B" w:rsidRPr="00BB200E" w:rsidRDefault="00461E5B" w:rsidP="00461E5B">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4230438" w14:textId="77777777" w:rsidR="00461E5B" w:rsidRDefault="00461E5B" w:rsidP="00461E5B">
      <w:pPr>
        <w:overflowPunct w:val="0"/>
        <w:autoSpaceDE w:val="0"/>
        <w:autoSpaceDN w:val="0"/>
        <w:adjustRightInd w:val="0"/>
        <w:spacing w:after="12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p>
    <w:p w14:paraId="61F17E57" w14:textId="15B321C3" w:rsidR="00BF026F" w:rsidRPr="004113AF" w:rsidRDefault="00BF026F" w:rsidP="00461E5B">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sidRPr="005A58BC">
        <w:rPr>
          <w:rFonts w:ascii="Verdana" w:hAnsi="Verdana" w:cstheme="minorHAnsi"/>
        </w:rPr>
        <w:t>Předání a převzetí předmětu koupě probíhá v rámci předávacího řízení potvrzením předávacího protokolu</w:t>
      </w:r>
      <w:r w:rsidRPr="000907E3">
        <w:rPr>
          <w:rFonts w:ascii="Verdana" w:hAnsi="Verdana" w:cstheme="minorHAnsi"/>
        </w:rPr>
        <w:t xml:space="preserve"> ze str</w:t>
      </w:r>
      <w:r>
        <w:rPr>
          <w:rFonts w:ascii="Verdana" w:hAnsi="Verdana" w:cstheme="minorHAnsi"/>
        </w:rPr>
        <w:t>any Kupujícího a Prodávajícího.</w:t>
      </w:r>
    </w:p>
    <w:p w14:paraId="4D5A70EC" w14:textId="77777777" w:rsidR="00D85C5B" w:rsidRPr="00C421D9" w:rsidRDefault="00D85C5B" w:rsidP="000E4F4B">
      <w:pPr>
        <w:pStyle w:val="Nadpis1"/>
        <w:rPr>
          <w:rFonts w:eastAsia="Times New Roman"/>
          <w:lang w:eastAsia="cs-CZ"/>
        </w:rPr>
      </w:pPr>
      <w:r w:rsidRPr="00C421D9">
        <w:rPr>
          <w:rFonts w:eastAsia="Times New Roman"/>
          <w:lang w:eastAsia="cs-CZ"/>
        </w:rPr>
        <w:t>Přeprava předmětu koupě</w:t>
      </w:r>
    </w:p>
    <w:p w14:paraId="21AAFB48" w14:textId="3E2FEF5F" w:rsidR="00D85C5B" w:rsidRPr="00C421D9" w:rsidRDefault="00C421D9"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C421D9">
        <w:rPr>
          <w:rFonts w:eastAsia="Times New Roman" w:cs="Times New Roman"/>
          <w:lang w:eastAsia="cs-CZ"/>
        </w:rPr>
        <w:t>Zadavatel vyžaduje p</w:t>
      </w:r>
      <w:r w:rsidR="00D85C5B" w:rsidRPr="00C421D9">
        <w:rPr>
          <w:rFonts w:eastAsia="Times New Roman" w:cs="Times New Roman"/>
          <w:lang w:eastAsia="cs-CZ"/>
        </w:rPr>
        <w:t xml:space="preserve">ojištění </w:t>
      </w:r>
      <w:r w:rsidRPr="00C421D9">
        <w:rPr>
          <w:rFonts w:eastAsia="Times New Roman" w:cs="Times New Roman"/>
          <w:lang w:eastAsia="cs-CZ"/>
        </w:rPr>
        <w:t>ve výši 3 300 000,- Kč bez DPH.</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32FAB264"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Prodávající předá Kupujícímu následující </w:t>
      </w:r>
      <w:r w:rsidR="00461E5B">
        <w:rPr>
          <w:rFonts w:eastAsia="Times New Roman" w:cs="Times New Roman"/>
          <w:lang w:eastAsia="cs-CZ"/>
        </w:rPr>
        <w:t xml:space="preserve">doklady </w:t>
      </w:r>
      <w:r w:rsidRPr="0015084F">
        <w:rPr>
          <w:rFonts w:eastAsia="Times New Roman" w:cs="Times New Roman"/>
          <w:lang w:eastAsia="cs-CZ"/>
        </w:rPr>
        <w:t xml:space="preserve">vztahující se k předmětu </w:t>
      </w:r>
      <w:r w:rsidR="00F73118">
        <w:rPr>
          <w:rFonts w:eastAsia="Times New Roman" w:cs="Times New Roman"/>
          <w:lang w:eastAsia="cs-CZ"/>
        </w:rPr>
        <w:t>veřejné zakázky</w:t>
      </w:r>
      <w:r w:rsidRPr="0015084F">
        <w:rPr>
          <w:rFonts w:eastAsia="Times New Roman" w:cs="Times New Roman"/>
          <w:lang w:eastAsia="cs-CZ"/>
        </w:rPr>
        <w:t>:</w:t>
      </w:r>
    </w:p>
    <w:p w14:paraId="2B70C500" w14:textId="77777777" w:rsidR="00F73118" w:rsidRDefault="00F73118" w:rsidP="00461E5B">
      <w:pPr>
        <w:numPr>
          <w:ilvl w:val="0"/>
          <w:numId w:val="22"/>
        </w:numPr>
        <w:spacing w:after="0"/>
        <w:ind w:left="1276" w:hanging="425"/>
        <w:outlineLvl w:val="0"/>
      </w:pPr>
      <w:r>
        <w:t>Technickou zprávu</w:t>
      </w:r>
    </w:p>
    <w:p w14:paraId="20425F61" w14:textId="77777777" w:rsidR="00F73118" w:rsidRDefault="00F73118" w:rsidP="00461E5B">
      <w:pPr>
        <w:numPr>
          <w:ilvl w:val="0"/>
          <w:numId w:val="22"/>
        </w:numPr>
        <w:spacing w:after="0"/>
        <w:ind w:left="1276" w:hanging="425"/>
        <w:outlineLvl w:val="0"/>
      </w:pPr>
      <w:r>
        <w:t>Výkresovou část</w:t>
      </w:r>
    </w:p>
    <w:p w14:paraId="2D51BF91" w14:textId="77777777" w:rsidR="00F73118" w:rsidRDefault="00F73118" w:rsidP="00461E5B">
      <w:pPr>
        <w:numPr>
          <w:ilvl w:val="0"/>
          <w:numId w:val="22"/>
        </w:numPr>
        <w:spacing w:after="0"/>
        <w:ind w:left="1276" w:hanging="425"/>
        <w:outlineLvl w:val="0"/>
      </w:pPr>
      <w:r>
        <w:t>Specifikaci materiálu</w:t>
      </w:r>
    </w:p>
    <w:p w14:paraId="342EE169" w14:textId="77777777" w:rsidR="00F73118" w:rsidRDefault="00F73118" w:rsidP="00461E5B">
      <w:pPr>
        <w:numPr>
          <w:ilvl w:val="0"/>
          <w:numId w:val="22"/>
        </w:numPr>
        <w:spacing w:after="0"/>
        <w:ind w:left="1276" w:hanging="425"/>
        <w:outlineLvl w:val="0"/>
      </w:pPr>
      <w:r>
        <w:t>Protokol o funkčních zkouškách</w:t>
      </w:r>
    </w:p>
    <w:p w14:paraId="058A5AC8" w14:textId="77777777" w:rsidR="00F73118" w:rsidRDefault="00F73118" w:rsidP="00461E5B">
      <w:pPr>
        <w:numPr>
          <w:ilvl w:val="0"/>
          <w:numId w:val="22"/>
        </w:numPr>
        <w:spacing w:after="0"/>
        <w:ind w:left="1276" w:hanging="425"/>
        <w:outlineLvl w:val="0"/>
      </w:pPr>
      <w:r>
        <w:t>Médium s dokumentací skutečného provedení v digitální podobě</w:t>
      </w:r>
    </w:p>
    <w:p w14:paraId="27C951C5" w14:textId="77777777" w:rsidR="00F73118" w:rsidRDefault="00F73118" w:rsidP="00461E5B">
      <w:pPr>
        <w:numPr>
          <w:ilvl w:val="0"/>
          <w:numId w:val="22"/>
        </w:numPr>
        <w:spacing w:after="0"/>
        <w:ind w:left="1276" w:hanging="425"/>
        <w:outlineLvl w:val="0"/>
      </w:pPr>
      <w:r>
        <w:lastRenderedPageBreak/>
        <w:t xml:space="preserve">Revizní zprávy k jednotlivým objektům dle </w:t>
      </w:r>
      <w:proofErr w:type="spellStart"/>
      <w:r>
        <w:t>vyhl</w:t>
      </w:r>
      <w:proofErr w:type="spellEnd"/>
      <w:r>
        <w:t>. 100/95 Sb.</w:t>
      </w:r>
    </w:p>
    <w:p w14:paraId="7152C55C" w14:textId="77777777" w:rsidR="00F73118" w:rsidRDefault="00F73118" w:rsidP="00461E5B">
      <w:pPr>
        <w:numPr>
          <w:ilvl w:val="0"/>
          <w:numId w:val="22"/>
        </w:numPr>
        <w:spacing w:after="0"/>
        <w:ind w:left="1276" w:hanging="425"/>
        <w:outlineLvl w:val="0"/>
      </w:pPr>
      <w:r>
        <w:t xml:space="preserve">Průkazy způsobilosti k jednotlivým objektům dle </w:t>
      </w:r>
      <w:proofErr w:type="spellStart"/>
      <w:r>
        <w:t>vyhl</w:t>
      </w:r>
      <w:proofErr w:type="spellEnd"/>
      <w:r>
        <w:t>. 100/95 Sb.</w:t>
      </w:r>
    </w:p>
    <w:p w14:paraId="4B70C07C" w14:textId="335A3ABE" w:rsidR="00D85C5B" w:rsidRDefault="00D85C5B" w:rsidP="000E4F4B">
      <w:pPr>
        <w:pStyle w:val="Nadpis1"/>
        <w:rPr>
          <w:rFonts w:eastAsia="Times New Roman"/>
          <w:lang w:eastAsia="cs-CZ"/>
        </w:rPr>
      </w:pPr>
      <w:r w:rsidRPr="000C5DA0">
        <w:rPr>
          <w:rFonts w:eastAsia="Times New Roman"/>
          <w:lang w:eastAsia="cs-CZ"/>
        </w:rPr>
        <w:t>Záruka</w:t>
      </w:r>
    </w:p>
    <w:p w14:paraId="1F2AAA3A" w14:textId="0549BB4D"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w:t>
      </w:r>
      <w:r w:rsidR="00461E5B">
        <w:rPr>
          <w:rFonts w:eastAsia="Times New Roman" w:cs="Times New Roman"/>
          <w:lang w:eastAsia="cs-CZ"/>
        </w:rPr>
        <w:t xml:space="preserve">se řídí ustanoveními Obchodních podmínek. </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C421D9">
      <w:pPr>
        <w:numPr>
          <w:ilvl w:val="1"/>
          <w:numId w:val="10"/>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502E6E">
        <w:rPr>
          <w:rFonts w:eastAsia="Times New Roman" w:cs="Times New Roman"/>
          <w:lang w:eastAsia="cs-CZ"/>
        </w:rPr>
        <w:t xml:space="preserve">Objednatel je povinen při vytváření zadávacích podmínek, včetně pravidel pro hodnocení nabídek, a výběru dodavatele, veřejné zakázky, na </w:t>
      </w:r>
      <w:proofErr w:type="gramStart"/>
      <w:r w:rsidRPr="00502E6E">
        <w:rPr>
          <w:rFonts w:eastAsia="Times New Roman" w:cs="Times New Roman"/>
          <w:lang w:eastAsia="cs-CZ"/>
        </w:rPr>
        <w:t>základě</w:t>
      </w:r>
      <w:proofErr w:type="gramEnd"/>
      <w:r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C421D9">
      <w:pPr>
        <w:numPr>
          <w:ilvl w:val="1"/>
          <w:numId w:val="10"/>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C421D9">
      <w:pPr>
        <w:numPr>
          <w:ilvl w:val="1"/>
          <w:numId w:val="10"/>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4D32DA31"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3FC86EEE"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4E7492B0"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63368F32"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562388F0"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11B8A0B9" w14:textId="77777777" w:rsidR="00502E6E" w:rsidRPr="00502E6E" w:rsidRDefault="00502E6E" w:rsidP="00C421D9">
      <w:pPr>
        <w:pStyle w:val="Odstavecseseznamem"/>
        <w:numPr>
          <w:ilvl w:val="0"/>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148E9DBC" w14:textId="77777777" w:rsidR="00502E6E" w:rsidRPr="00502E6E" w:rsidRDefault="00502E6E" w:rsidP="00C421D9">
      <w:pPr>
        <w:pStyle w:val="Odstavecseseznamem"/>
        <w:numPr>
          <w:ilvl w:val="1"/>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1DEB23FB" w14:textId="77777777" w:rsidR="00502E6E" w:rsidRPr="00502E6E" w:rsidRDefault="00502E6E" w:rsidP="00C421D9">
      <w:pPr>
        <w:pStyle w:val="Odstavecseseznamem"/>
        <w:numPr>
          <w:ilvl w:val="1"/>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2818EC30" w14:textId="77777777" w:rsidR="00502E6E" w:rsidRPr="00502E6E" w:rsidRDefault="00502E6E" w:rsidP="00C421D9">
      <w:pPr>
        <w:pStyle w:val="Odstavecseseznamem"/>
        <w:numPr>
          <w:ilvl w:val="1"/>
          <w:numId w:val="19"/>
        </w:numPr>
        <w:overflowPunct w:val="0"/>
        <w:autoSpaceDE w:val="0"/>
        <w:autoSpaceDN w:val="0"/>
        <w:adjustRightInd w:val="0"/>
        <w:spacing w:after="120" w:line="240" w:lineRule="auto"/>
        <w:jc w:val="both"/>
        <w:textAlignment w:val="baseline"/>
        <w:rPr>
          <w:rFonts w:eastAsia="Times New Roman" w:cs="Times New Roman"/>
          <w:vanish/>
          <w:lang w:eastAsia="cs-CZ"/>
        </w:rPr>
      </w:pPr>
    </w:p>
    <w:p w14:paraId="79BFE9C5" w14:textId="60D009E8" w:rsidR="00502E6E" w:rsidRDefault="00502E6E" w:rsidP="00C421D9">
      <w:pPr>
        <w:pStyle w:val="Odstavecseseznamem"/>
        <w:numPr>
          <w:ilvl w:val="2"/>
          <w:numId w:val="19"/>
        </w:numPr>
        <w:overflowPunct w:val="0"/>
        <w:autoSpaceDE w:val="0"/>
        <w:autoSpaceDN w:val="0"/>
        <w:adjustRightInd w:val="0"/>
        <w:spacing w:after="120" w:line="240" w:lineRule="auto"/>
        <w:jc w:val="both"/>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170A4C31" w14:textId="358CB393" w:rsidR="00502E6E" w:rsidRPr="00502E6E" w:rsidRDefault="00502E6E" w:rsidP="00C421D9">
      <w:pPr>
        <w:pStyle w:val="Odstavecseseznamem"/>
        <w:numPr>
          <w:ilvl w:val="2"/>
          <w:numId w:val="19"/>
        </w:numPr>
        <w:overflowPunct w:val="0"/>
        <w:autoSpaceDE w:val="0"/>
        <w:autoSpaceDN w:val="0"/>
        <w:adjustRightInd w:val="0"/>
        <w:spacing w:after="120" w:line="240" w:lineRule="auto"/>
        <w:jc w:val="both"/>
        <w:textAlignment w:val="baseline"/>
        <w:rPr>
          <w:rFonts w:eastAsia="Times New Roman" w:cs="Times New Roman"/>
          <w:lang w:eastAsia="cs-CZ"/>
        </w:rPr>
      </w:pPr>
      <w:r w:rsidRPr="00502E6E">
        <w:rPr>
          <w:rFonts w:eastAsia="Times New Roman" w:cs="Times New Roman"/>
          <w:lang w:eastAsia="cs-CZ"/>
        </w:rPr>
        <w:t xml:space="preserve">Zhotovitel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037C94">
      <w:pPr>
        <w:pStyle w:val="Text1-1"/>
        <w:numPr>
          <w:ilvl w:val="1"/>
          <w:numId w:val="10"/>
        </w:numPr>
        <w:ind w:left="709" w:hanging="709"/>
      </w:pPr>
      <w:r>
        <w:t xml:space="preserve">Zhotovitel prohlašuje, že 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w:t>
      </w:r>
      <w:r>
        <w:lastRenderedPageBreak/>
        <w:t xml:space="preserve">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58B27313" w14:textId="77777777" w:rsidR="00037C94" w:rsidRDefault="00037C94" w:rsidP="00037C94">
      <w:pPr>
        <w:pStyle w:val="Text1-1"/>
        <w:numPr>
          <w:ilvl w:val="1"/>
          <w:numId w:val="10"/>
        </w:numPr>
        <w:ind w:left="709" w:hanging="709"/>
      </w:pPr>
      <w:r>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77777777" w:rsidR="00037C94" w:rsidRDefault="00037C94" w:rsidP="00037C94">
      <w:pPr>
        <w:pStyle w:val="Text1-1"/>
        <w:numPr>
          <w:ilvl w:val="1"/>
          <w:numId w:val="10"/>
        </w:numPr>
        <w:ind w:left="709" w:hanging="709"/>
      </w:pPr>
      <w:r>
        <w:t xml:space="preserve">Je-li Zhotovitelem sdružení více osob, platí podmínky dle odstavce 7.1 a 7.2 této Smlouvy také jednotlivě pro všechny osoby v rámci Zhotovitele </w:t>
      </w:r>
      <w:proofErr w:type="gramStart"/>
      <w:r>
        <w:t>sdružené</w:t>
      </w:r>
      <w:proofErr w:type="gramEnd"/>
      <w:r>
        <w:t xml:space="preserve"> a to bez ohledu na právní formu tohoto sdružení.</w:t>
      </w:r>
    </w:p>
    <w:p w14:paraId="737A6922" w14:textId="77777777" w:rsidR="00037C94" w:rsidRDefault="00037C94" w:rsidP="00037C94">
      <w:pPr>
        <w:pStyle w:val="Text1-1"/>
        <w:numPr>
          <w:ilvl w:val="1"/>
          <w:numId w:val="10"/>
        </w:numPr>
        <w:ind w:left="709" w:hanging="709"/>
      </w:pPr>
      <w: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037C94">
      <w:pPr>
        <w:pStyle w:val="Text1-1"/>
        <w:numPr>
          <w:ilvl w:val="1"/>
          <w:numId w:val="10"/>
        </w:numPr>
        <w:ind w:left="709"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037C94">
      <w:pPr>
        <w:pStyle w:val="Text1-1"/>
        <w:numPr>
          <w:ilvl w:val="1"/>
          <w:numId w:val="10"/>
        </w:numPr>
        <w:ind w:left="709"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037C94">
      <w:pPr>
        <w:pStyle w:val="Text1-1"/>
        <w:numPr>
          <w:ilvl w:val="1"/>
          <w:numId w:val="10"/>
        </w:numPr>
        <w:ind w:left="709" w:hanging="709"/>
      </w:pPr>
      <w:proofErr w:type="gramStart"/>
      <w:r>
        <w:t>Ukáží</w:t>
      </w:r>
      <w:proofErr w:type="gramEnd"/>
      <w:r>
        <w:t xml:space="preserve">-li se prohlášení Zhotovitele dle odstavce 7.1 a 7.2 této Smlouvy jako nepravdivá nebo poruší-li Zhotovitel svou oznamovací povinnost dle odstavce 7.4. nebo povinnosti dle odstavců 7.5 nebo 7.6 </w:t>
      </w:r>
      <w:r w:rsidRPr="00FE310B">
        <w:t>této Smlouvy, je Objednatel oprávněn odstoupit od této Smlouvy. Zhotovitel je dále povinen zaplatit za každé jednotlivé porušení povinností dle předchozí věty smluvní pokutu ve výši 5 % procent z</w:t>
      </w:r>
      <w:r>
        <w:t xml:space="preserve"> Ceny Díla bez DPH sjednané dle této Smlouvy. Ustanovení § 2004 odst. 2 Občanského zákoníku a § 2050 Občanského zákoníku se nepoužijí.</w:t>
      </w:r>
    </w:p>
    <w:p w14:paraId="110B0F4C" w14:textId="564DF173" w:rsidR="00754F63" w:rsidRPr="00E416EC" w:rsidRDefault="00D85C5B" w:rsidP="00E416EC">
      <w:pPr>
        <w:pStyle w:val="Nadpis1"/>
        <w:numPr>
          <w:ilvl w:val="0"/>
          <w:numId w:val="23"/>
        </w:numPr>
        <w:rPr>
          <w:rFonts w:eastAsia="Times New Roman"/>
          <w:lang w:eastAsia="cs-CZ"/>
        </w:rPr>
      </w:pPr>
      <w:r w:rsidRPr="00E416EC">
        <w:rPr>
          <w:rFonts w:eastAsia="Times New Roman"/>
          <w:lang w:eastAsia="cs-CZ"/>
        </w:rPr>
        <w:t>Další ujednání</w:t>
      </w:r>
    </w:p>
    <w:p w14:paraId="63A164D4" w14:textId="77777777" w:rsidR="008F3B89" w:rsidRPr="000C5DA0" w:rsidRDefault="008F3B89" w:rsidP="00E416EC">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 xml:space="preserve">ouvy, nepovažují za obchodní tajemství ve smyslu ustanovení § 504 Občanského zákoníku </w:t>
      </w:r>
      <w:r w:rsidRPr="000C5DA0">
        <w:rPr>
          <w:rFonts w:eastAsia="Calibri" w:cs="Times New Roman"/>
        </w:rPr>
        <w:lastRenderedPageBreak/>
        <w:t>(dále jen „obchodní tajemství“), a že se nejedná ani o informace, které nemohou být v registru smluv uveřejněny na základě ustanovení § 3 odst. 1 ZRS.</w:t>
      </w:r>
    </w:p>
    <w:p w14:paraId="3391105E" w14:textId="77777777" w:rsidR="008F3B89" w:rsidRPr="000C5DA0"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označí</w:t>
      </w:r>
      <w:proofErr w:type="gramEnd"/>
      <w:r w:rsidRPr="000C5DA0">
        <w:rPr>
          <w:rFonts w:eastAsia="Calibri" w:cs="Times New Roman"/>
        </w:rPr>
        <w:t xml:space="preserve">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neoznačí</w:t>
      </w:r>
      <w:proofErr w:type="gramEnd"/>
      <w:r w:rsidRPr="000C5DA0">
        <w:rPr>
          <w:rFonts w:eastAsia="Calibri" w:cs="Times New Roman"/>
        </w:rPr>
        <w:t xml:space="preserve">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D6524B" w:rsidRDefault="008F3B89" w:rsidP="00E416EC">
      <w:pPr>
        <w:numPr>
          <w:ilvl w:val="1"/>
          <w:numId w:val="5"/>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3B69BD19" w14:textId="77777777" w:rsidR="00E416EC" w:rsidRPr="00E416EC" w:rsidRDefault="00E416EC" w:rsidP="00E416EC">
      <w:pPr>
        <w:pStyle w:val="Odstavecseseznamem"/>
        <w:numPr>
          <w:ilvl w:val="0"/>
          <w:numId w:val="16"/>
        </w:numPr>
        <w:overflowPunct w:val="0"/>
        <w:autoSpaceDE w:val="0"/>
        <w:autoSpaceDN w:val="0"/>
        <w:adjustRightInd w:val="0"/>
        <w:spacing w:after="120" w:line="276" w:lineRule="auto"/>
        <w:textAlignment w:val="baseline"/>
        <w:rPr>
          <w:rFonts w:eastAsia="Times New Roman" w:cs="Times New Roman"/>
          <w:vanish/>
          <w:lang w:eastAsia="cs-CZ"/>
        </w:rPr>
      </w:pPr>
    </w:p>
    <w:p w14:paraId="1DA9AB30" w14:textId="77777777" w:rsidR="00E416EC" w:rsidRPr="00E416EC" w:rsidRDefault="00E416EC" w:rsidP="00E416EC">
      <w:pPr>
        <w:pStyle w:val="Odstavecseseznamem"/>
        <w:numPr>
          <w:ilvl w:val="0"/>
          <w:numId w:val="16"/>
        </w:numPr>
        <w:overflowPunct w:val="0"/>
        <w:autoSpaceDE w:val="0"/>
        <w:autoSpaceDN w:val="0"/>
        <w:adjustRightInd w:val="0"/>
        <w:spacing w:after="120" w:line="276" w:lineRule="auto"/>
        <w:textAlignment w:val="baseline"/>
        <w:rPr>
          <w:rFonts w:eastAsia="Times New Roman" w:cs="Times New Roman"/>
          <w:vanish/>
          <w:lang w:eastAsia="cs-CZ"/>
        </w:rPr>
      </w:pPr>
    </w:p>
    <w:p w14:paraId="6D6AFFE3" w14:textId="62883016" w:rsidR="00AF7DCE" w:rsidRDefault="00065284" w:rsidP="00E416EC">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6EF424BC" w14:textId="77777777" w:rsidR="00801594" w:rsidRDefault="00801594" w:rsidP="00801594">
      <w:pPr>
        <w:pStyle w:val="Odstavecseseznamem"/>
        <w:overflowPunct w:val="0"/>
        <w:autoSpaceDE w:val="0"/>
        <w:autoSpaceDN w:val="0"/>
        <w:adjustRightInd w:val="0"/>
        <w:spacing w:after="120" w:line="276" w:lineRule="auto"/>
        <w:ind w:left="709"/>
        <w:textAlignment w:val="baseline"/>
        <w:rPr>
          <w:rFonts w:eastAsia="Times New Roman" w:cs="Times New Roman"/>
          <w:lang w:eastAsia="cs-CZ"/>
        </w:rPr>
      </w:pPr>
    </w:p>
    <w:p w14:paraId="4418F347" w14:textId="68144A15" w:rsidR="00D85C5B" w:rsidRPr="00AF7DCE" w:rsidRDefault="00D85C5B"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630FA64F" w:rsidR="00D85C5B"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6A6C03C8" w14:textId="77777777" w:rsidR="00801594" w:rsidRPr="000C5DA0" w:rsidRDefault="00801594" w:rsidP="00801594">
      <w:pPr>
        <w:pStyle w:val="Odstavecseseznamem"/>
        <w:tabs>
          <w:tab w:val="left" w:pos="993"/>
        </w:tabs>
        <w:overflowPunct w:val="0"/>
        <w:autoSpaceDE w:val="0"/>
        <w:autoSpaceDN w:val="0"/>
        <w:adjustRightInd w:val="0"/>
        <w:spacing w:after="120" w:line="276" w:lineRule="auto"/>
        <w:ind w:left="993"/>
        <w:textAlignment w:val="baseline"/>
        <w:rPr>
          <w:rFonts w:eastAsia="Times New Roman" w:cs="Times New Roman"/>
          <w:lang w:eastAsia="cs-CZ"/>
        </w:rPr>
      </w:pPr>
    </w:p>
    <w:p w14:paraId="3F0CC7BE" w14:textId="29DD0546" w:rsidR="00D85C5B" w:rsidRPr="00AF7DCE" w:rsidRDefault="00346E96"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highlight w:val="green"/>
        </w:rPr>
        <w:t xml:space="preserve">Tato Smlouva je vyhotovena v elektronické podobě, přičemž obě Smluvní strany </w:t>
      </w:r>
      <w:proofErr w:type="gramStart"/>
      <w:r w:rsidRPr="00AF7DCE">
        <w:rPr>
          <w:highlight w:val="green"/>
        </w:rPr>
        <w:t>obdrží</w:t>
      </w:r>
      <w:proofErr w:type="gramEnd"/>
      <w:r w:rsidRPr="00AF7DCE">
        <w:rPr>
          <w:highlight w:val="green"/>
        </w:rPr>
        <w:t xml:space="preserve"> její elektronický originál</w:t>
      </w:r>
      <w:r w:rsidR="00673324" w:rsidRPr="00AF7DCE">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AF7DCE">
        <w:rPr>
          <w:rFonts w:eastAsia="Times New Roman" w:cs="Times New Roman"/>
          <w:lang w:eastAsia="cs-CZ"/>
        </w:rPr>
        <w:t xml:space="preserve">sepsána ve </w:t>
      </w:r>
      <w:r w:rsidR="00DB12F8" w:rsidRPr="00B42F40">
        <w:t>"[</w:t>
      </w:r>
      <w:proofErr w:type="gramStart"/>
      <w:r w:rsidR="00DB12F8" w:rsidRPr="00AF7DCE">
        <w:rPr>
          <w:highlight w:val="yellow"/>
        </w:rPr>
        <w:t>VLOŽÍ</w:t>
      </w:r>
      <w:proofErr w:type="gramEnd"/>
      <w:r w:rsidR="00DB12F8" w:rsidRPr="00AF7DCE">
        <w:rPr>
          <w:highlight w:val="yellow"/>
        </w:rPr>
        <w:t xml:space="preserve"> PRODÁVAJÍCÍ</w:t>
      </w:r>
      <w:r w:rsidR="00DB12F8" w:rsidRPr="00B42F40">
        <w:t>]"</w:t>
      </w:r>
      <w:r w:rsidR="00DB12F8">
        <w:t xml:space="preserve"> </w:t>
      </w:r>
      <w:r w:rsidR="00D85C5B" w:rsidRPr="00AF7DCE">
        <w:rPr>
          <w:rFonts w:eastAsia="Times New Roman" w:cs="Times New Roman"/>
          <w:lang w:eastAsia="cs-CZ"/>
        </w:rPr>
        <w:t xml:space="preserve">vyhotoveních, </w:t>
      </w:r>
      <w:r w:rsidR="00791AC7" w:rsidRPr="00AF7DCE">
        <w:rPr>
          <w:rFonts w:eastAsia="Times New Roman" w:cs="Times New Roman"/>
          <w:lang w:eastAsia="cs-CZ"/>
        </w:rPr>
        <w:t>v</w:t>
      </w:r>
      <w:r w:rsidR="00DB12F8" w:rsidRPr="00AF7DCE">
        <w:rPr>
          <w:rFonts w:eastAsia="Times New Roman" w:cs="Times New Roman"/>
          <w:lang w:eastAsia="cs-CZ"/>
        </w:rPr>
        <w:t> </w:t>
      </w:r>
      <w:r w:rsidR="00DB12F8" w:rsidRPr="00AF7DCE">
        <w:rPr>
          <w:rFonts w:eastAsia="Times New Roman" w:cs="Times New Roman"/>
          <w:highlight w:val="green"/>
          <w:lang w:eastAsia="cs-CZ"/>
        </w:rPr>
        <w:t>jednom</w:t>
      </w:r>
      <w:r w:rsidR="00DB12F8" w:rsidRPr="00AF7DCE">
        <w:rPr>
          <w:rFonts w:eastAsia="Times New Roman" w:cs="Times New Roman"/>
          <w:lang w:eastAsia="cs-CZ"/>
        </w:rPr>
        <w:t xml:space="preserve"> </w:t>
      </w:r>
      <w:r w:rsidR="00791AC7" w:rsidRPr="00AF7DCE">
        <w:rPr>
          <w:rFonts w:eastAsia="Times New Roman" w:cs="Times New Roman"/>
          <w:lang w:eastAsia="cs-CZ"/>
        </w:rPr>
        <w:t xml:space="preserve">vyhotovení pro Kupujícího a </w:t>
      </w:r>
      <w:r w:rsidR="00DB12F8" w:rsidRPr="00B42F40">
        <w:t>"[</w:t>
      </w:r>
      <w:r w:rsidR="00DB12F8" w:rsidRPr="00AF7DCE">
        <w:rPr>
          <w:highlight w:val="yellow"/>
        </w:rPr>
        <w:t>VLOŽÍ PRODÁVAJÍCÍ</w:t>
      </w:r>
      <w:r w:rsidR="00DB12F8" w:rsidRPr="00B42F40">
        <w:t>]"</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A91E96">
      <w:pPr>
        <w:numPr>
          <w:ilvl w:val="1"/>
          <w:numId w:val="16"/>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7C1A581E"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5A58BC">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commentRangeStart w:id="0"/>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commentRangeEnd w:id="0"/>
      <w:proofErr w:type="spellEnd"/>
      <w:r w:rsidR="00D41716">
        <w:rPr>
          <w:rStyle w:val="Odkaznakoment"/>
          <w:rFonts w:ascii="Times New Roman" w:eastAsia="Times New Roman" w:hAnsi="Times New Roman" w:cs="Times New Roman"/>
          <w:lang w:eastAsia="cs-CZ"/>
        </w:rPr>
        <w:commentReference w:id="0"/>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21"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2"/>
          <w:footerReference w:type="first" r:id="rId23"/>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1367EDCE" w:rsidR="0040201B" w:rsidRPr="0040201B" w:rsidRDefault="00FE310B" w:rsidP="0040201B">
      <w:pPr>
        <w:pStyle w:val="Nadpisbezsl1-2"/>
        <w:rPr>
          <w:sz w:val="18"/>
          <w:szCs w:val="18"/>
        </w:rPr>
      </w:pPr>
      <w:r>
        <w:rPr>
          <w:sz w:val="18"/>
          <w:szCs w:val="18"/>
        </w:rPr>
        <w:t>Technická zpráva</w:t>
      </w:r>
    </w:p>
    <w:p w14:paraId="7B24171A" w14:textId="34CB3F45" w:rsidR="005A47E3" w:rsidRPr="00512F8C" w:rsidRDefault="00FE310B"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4" w:history="1">
        <w:r w:rsidR="006A1480" w:rsidRPr="00FD78D4">
          <w:rPr>
            <w:rStyle w:val="Hypertextovodkaz"/>
            <w:bCs/>
          </w:rPr>
          <w:t>https://zakazky.spravazeleznic.cz/</w:t>
        </w:r>
      </w:hyperlink>
      <w:r w:rsidR="005A47E3" w:rsidRPr="00512F8C">
        <w:rPr>
          <w:bCs/>
        </w:rPr>
        <w:t xml:space="preserve">. </w:t>
      </w:r>
    </w:p>
    <w:p w14:paraId="4FBA6C63" w14:textId="6304E015"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FE310B">
        <w:rPr>
          <w:bCs/>
        </w:rPr>
        <w:t>Technická zpráva</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jík Jiří, Ing." w:date="2020-07-15T17:32:00Z" w:initials="RJI">
    <w:p w14:paraId="61C38CB5" w14:textId="581EF626" w:rsidR="00D41716" w:rsidRDefault="00D41716">
      <w:pPr>
        <w:pStyle w:val="Textkomente"/>
      </w:pPr>
      <w:r>
        <w:rPr>
          <w:rStyle w:val="Odkaznakoment"/>
        </w:rPr>
        <w:annotationRef/>
      </w:r>
      <w:r>
        <w:t>Místo a den podpisu ponechat pouze pro listinnou podobu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C38C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1F" w16cex:dateUtc="2020-07-15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38CB5" w16cid:durableId="2587F7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E5E3577"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81A72">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77FEA6DB"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A81A72">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6CC30ED"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7B5860"/>
    <w:multiLevelType w:val="hybridMultilevel"/>
    <w:tmpl w:val="4BA2FED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794EC0"/>
    <w:multiLevelType w:val="multilevel"/>
    <w:tmpl w:val="616CDC90"/>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BE17C2"/>
    <w:multiLevelType w:val="multilevel"/>
    <w:tmpl w:val="BAE8FBD6"/>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7"/>
  </w:num>
  <w:num w:numId="4" w16cid:durableId="1675692648">
    <w:abstractNumId w:val="18"/>
  </w:num>
  <w:num w:numId="5" w16cid:durableId="982657769">
    <w:abstractNumId w:val="12"/>
  </w:num>
  <w:num w:numId="6" w16cid:durableId="1665162263">
    <w:abstractNumId w:val="8"/>
  </w:num>
  <w:num w:numId="7" w16cid:durableId="1272317211">
    <w:abstractNumId w:val="13"/>
  </w:num>
  <w:num w:numId="8" w16cid:durableId="876745416">
    <w:abstractNumId w:val="17"/>
  </w:num>
  <w:num w:numId="9" w16cid:durableId="1729572222">
    <w:abstractNumId w:val="19"/>
  </w:num>
  <w:num w:numId="10" w16cid:durableId="623855684">
    <w:abstractNumId w:val="16"/>
  </w:num>
  <w:num w:numId="11" w16cid:durableId="1081682047">
    <w:abstractNumId w:val="10"/>
  </w:num>
  <w:num w:numId="12" w16cid:durableId="1359741904">
    <w:abstractNumId w:val="4"/>
  </w:num>
  <w:num w:numId="13" w16cid:durableId="921178700">
    <w:abstractNumId w:val="1"/>
  </w:num>
  <w:num w:numId="14" w16cid:durableId="1792556477">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5"/>
  </w:num>
  <w:num w:numId="16" w16cid:durableId="1965429780">
    <w:abstractNumId w:val="0"/>
  </w:num>
  <w:num w:numId="17" w16cid:durableId="417597489">
    <w:abstractNumId w:val="5"/>
  </w:num>
  <w:num w:numId="18" w16cid:durableId="410586446">
    <w:abstractNumId w:val="12"/>
  </w:num>
  <w:num w:numId="19" w16cid:durableId="639068320">
    <w:abstractNumId w:val="3"/>
  </w:num>
  <w:num w:numId="20" w16cid:durableId="828910639">
    <w:abstractNumId w:val="11"/>
  </w:num>
  <w:num w:numId="21" w16cid:durableId="1560163455">
    <w:abstractNumId w:val="9"/>
  </w:num>
  <w:num w:numId="22" w16cid:durableId="749232146">
    <w:abstractNumId w:val="14"/>
  </w:num>
  <w:num w:numId="23" w16cid:durableId="157358910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3728F"/>
    <w:rsid w:val="00441430"/>
    <w:rsid w:val="00444FF4"/>
    <w:rsid w:val="00450F07"/>
    <w:rsid w:val="00453CD3"/>
    <w:rsid w:val="00457A38"/>
    <w:rsid w:val="00460660"/>
    <w:rsid w:val="00461E5B"/>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A58BC"/>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81A72"/>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D9"/>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416EC"/>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236E5"/>
    <w:rsid w:val="00F30576"/>
    <w:rsid w:val="00F310F8"/>
    <w:rsid w:val="00F35939"/>
    <w:rsid w:val="00F41178"/>
    <w:rsid w:val="00F41249"/>
    <w:rsid w:val="00F45607"/>
    <w:rsid w:val="00F5412E"/>
    <w:rsid w:val="00F659EB"/>
    <w:rsid w:val="00F66D8D"/>
    <w:rsid w:val="00F73118"/>
    <w:rsid w:val="00F7311C"/>
    <w:rsid w:val="00F75F97"/>
    <w:rsid w:val="00F77721"/>
    <w:rsid w:val="00F86BA6"/>
    <w:rsid w:val="00F908E7"/>
    <w:rsid w:val="00FB3132"/>
    <w:rsid w:val="00FB3D6C"/>
    <w:rsid w:val="00FB5045"/>
    <w:rsid w:val="00FC6389"/>
    <w:rsid w:val="00FD56DD"/>
    <w:rsid w:val="00FE310B"/>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 w:type="paragraph" w:customStyle="1" w:styleId="obyejntext">
    <w:name w:val="obyčejný text"/>
    <w:rsid w:val="005A58BC"/>
    <w:pPr>
      <w:spacing w:after="0" w:line="240" w:lineRule="auto"/>
    </w:pPr>
    <w:rPr>
      <w:rFonts w:ascii="Arial" w:eastAsia="Times New Roman" w:hAnsi="Arial" w:cs="Times New Roman"/>
      <w:color w:val="000000"/>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10</Pages>
  <Words>2706</Words>
  <Characters>15967</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14</cp:revision>
  <cp:lastPrinted>2017-11-28T17:18:00Z</cp:lastPrinted>
  <dcterms:created xsi:type="dcterms:W3CDTF">2023-02-09T12:20:00Z</dcterms:created>
  <dcterms:modified xsi:type="dcterms:W3CDTF">2023-03-17T08:11:00Z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