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36E" w:rsidRDefault="004B536E">
      <w:pPr>
        <w:rPr>
          <w:b/>
        </w:rPr>
      </w:pPr>
      <w:r>
        <w:rPr>
          <w:b/>
        </w:rPr>
        <w:t xml:space="preserve">Příloha č. 5 – Požadavky na provoz kavárny a </w:t>
      </w:r>
      <w:r w:rsidR="00660F99">
        <w:rPr>
          <w:b/>
        </w:rPr>
        <w:t>S</w:t>
      </w:r>
      <w:r>
        <w:rPr>
          <w:b/>
        </w:rPr>
        <w:t>loupového sálu</w:t>
      </w:r>
      <w:r w:rsidR="00BA086E">
        <w:rPr>
          <w:b/>
        </w:rPr>
        <w:t xml:space="preserve"> </w:t>
      </w:r>
    </w:p>
    <w:p w:rsidR="003727EC" w:rsidRDefault="00685A8D">
      <w:pPr>
        <w:rPr>
          <w:b/>
        </w:rPr>
      </w:pPr>
      <w:r>
        <w:rPr>
          <w:b/>
        </w:rPr>
        <w:t>PROVOZ KAVÁRNY A SLOUPOVÉHO SÁLU</w:t>
      </w:r>
      <w:r w:rsidR="00BA086E">
        <w:rPr>
          <w:b/>
        </w:rPr>
        <w:t xml:space="preserve"> A SALONKU </w:t>
      </w:r>
      <w:r w:rsidR="005560FD">
        <w:rPr>
          <w:b/>
        </w:rPr>
        <w:t>VČ. POSKYTOVÁNÍ CATERINGOVÝCH SLUŽEB</w:t>
      </w:r>
    </w:p>
    <w:p w:rsidR="00BA086E" w:rsidRPr="00BA086E" w:rsidRDefault="00BA086E" w:rsidP="00BA086E">
      <w:pPr>
        <w:pStyle w:val="Odstavecseseznamem"/>
        <w:numPr>
          <w:ilvl w:val="0"/>
          <w:numId w:val="12"/>
        </w:numPr>
        <w:spacing w:after="240" w:line="264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Požadavky </w:t>
      </w:r>
      <w:r w:rsidRPr="00BA086E">
        <w:rPr>
          <w:rFonts w:cs="Arial"/>
          <w:sz w:val="18"/>
          <w:szCs w:val="18"/>
        </w:rPr>
        <w:t xml:space="preserve">vázající se ke kavárně </w:t>
      </w:r>
      <w:bookmarkStart w:id="0" w:name="_Hlk125964745"/>
      <w:r w:rsidRPr="00BA086E">
        <w:rPr>
          <w:rFonts w:cs="Arial"/>
          <w:b/>
          <w:bCs/>
          <w:sz w:val="18"/>
          <w:szCs w:val="18"/>
        </w:rPr>
        <w:t>Foyer Café</w:t>
      </w:r>
      <w:r w:rsidRPr="00BA086E">
        <w:rPr>
          <w:rFonts w:cs="Arial"/>
          <w:sz w:val="18"/>
          <w:szCs w:val="18"/>
        </w:rPr>
        <w:t xml:space="preserve"> </w:t>
      </w:r>
      <w:bookmarkEnd w:id="0"/>
      <w:r w:rsidRPr="00BA086E">
        <w:rPr>
          <w:rFonts w:cs="Arial"/>
          <w:sz w:val="18"/>
          <w:szCs w:val="18"/>
        </w:rPr>
        <w:t>jsou vymezeny takto:</w:t>
      </w:r>
    </w:p>
    <w:p w:rsidR="00BA086E" w:rsidRPr="00BA086E" w:rsidRDefault="00BA086E" w:rsidP="00BA086E">
      <w:pPr>
        <w:pStyle w:val="Odstavecseseznamem"/>
        <w:tabs>
          <w:tab w:val="left" w:pos="0"/>
        </w:tabs>
        <w:spacing w:after="0"/>
        <w:jc w:val="both"/>
        <w:rPr>
          <w:rFonts w:cs="Arial"/>
          <w:b/>
          <w:bCs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8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cs="Arial"/>
          <w:b/>
          <w:bCs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Koncesionář je povinen mít kavárnu Foyer Café otevřenou pro veřejnost každý den včetně víkendů a státních svátků po dobu 12 souvislých hodin s otevírací dobou od 7:30 do 19:30. </w:t>
      </w:r>
      <w:proofErr w:type="spellStart"/>
      <w:r w:rsidRPr="00BA086E">
        <w:rPr>
          <w:rFonts w:cs="Arial"/>
          <w:sz w:val="18"/>
          <w:szCs w:val="18"/>
        </w:rPr>
        <w:t>Koncedent</w:t>
      </w:r>
      <w:proofErr w:type="spellEnd"/>
      <w:r w:rsidRPr="00BA086E">
        <w:rPr>
          <w:rFonts w:cs="Arial"/>
          <w:sz w:val="18"/>
          <w:szCs w:val="18"/>
        </w:rPr>
        <w:t xml:space="preserve"> a koncesionář se mohou dohodnout na změně otevírací doby.</w:t>
      </w:r>
    </w:p>
    <w:p w:rsidR="00BA086E" w:rsidRPr="00BA086E" w:rsidRDefault="00BA086E" w:rsidP="00BA086E">
      <w:pPr>
        <w:pStyle w:val="Odstavecseseznamem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1434"/>
        <w:jc w:val="both"/>
        <w:rPr>
          <w:rFonts w:cs="Arial"/>
          <w:b/>
          <w:bCs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8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18"/>
          <w:szCs w:val="18"/>
        </w:rPr>
      </w:pPr>
      <w:bookmarkStart w:id="1" w:name="_Hlk125640636"/>
      <w:r w:rsidRPr="00BA086E">
        <w:rPr>
          <w:rFonts w:cs="Arial"/>
          <w:sz w:val="18"/>
          <w:szCs w:val="18"/>
        </w:rPr>
        <w:t xml:space="preserve">Z důvodu konání kulturní akce ve Fantově sále (zejména s ohledem na charakter a rozsah dané kulturní akce) je </w:t>
      </w:r>
      <w:proofErr w:type="spellStart"/>
      <w:r w:rsidRPr="00BA086E">
        <w:rPr>
          <w:rFonts w:cs="Arial"/>
          <w:sz w:val="18"/>
          <w:szCs w:val="18"/>
        </w:rPr>
        <w:t>koncedent</w:t>
      </w:r>
      <w:proofErr w:type="spellEnd"/>
      <w:r w:rsidRPr="00BA086E">
        <w:rPr>
          <w:rFonts w:cs="Arial"/>
          <w:sz w:val="18"/>
          <w:szCs w:val="18"/>
        </w:rPr>
        <w:t xml:space="preserve"> oprávněn koncesionáři nařídit otevírací dobu Foyer Café. Zároveň je </w:t>
      </w:r>
      <w:proofErr w:type="spellStart"/>
      <w:r w:rsidRPr="00BA086E">
        <w:rPr>
          <w:rFonts w:cs="Arial"/>
          <w:sz w:val="18"/>
          <w:szCs w:val="18"/>
        </w:rPr>
        <w:t>koncedent</w:t>
      </w:r>
      <w:proofErr w:type="spellEnd"/>
      <w:r w:rsidRPr="00BA086E">
        <w:rPr>
          <w:rFonts w:cs="Arial"/>
          <w:sz w:val="18"/>
          <w:szCs w:val="18"/>
        </w:rPr>
        <w:t xml:space="preserve"> oprávněn nařídit koncesionáři uzavřít Foyer Café pro širokou veřejnost a otevřít ji pouze pro hosty kulturní akce. Koncesionář v takovém případě odpovídá za to, že se ve Foyer Café nebudou nacházet osoby, které nejsou účastníky dané kulturní akce. O konání akce bude koncesionář obeznámen s časovým předstihem minimálně ve lhůtě 14 dnů před konáním kulturní akce, a to prostřednictvím e-mailové adresy uvedené </w:t>
      </w:r>
      <w:r w:rsidR="00C26008">
        <w:rPr>
          <w:rFonts w:cs="Arial"/>
          <w:sz w:val="18"/>
          <w:szCs w:val="18"/>
        </w:rPr>
        <w:t>ve smlouvě</w:t>
      </w:r>
      <w:r w:rsidRPr="00BA086E">
        <w:rPr>
          <w:rFonts w:cs="Arial"/>
          <w:sz w:val="18"/>
          <w:szCs w:val="18"/>
        </w:rPr>
        <w:t>.</w:t>
      </w:r>
    </w:p>
    <w:bookmarkEnd w:id="1"/>
    <w:p w:rsidR="00BA086E" w:rsidRPr="00BA086E" w:rsidRDefault="00BA086E" w:rsidP="00BA086E">
      <w:pPr>
        <w:pStyle w:val="Odstavecseseznamem"/>
        <w:rPr>
          <w:rFonts w:cs="Arial"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8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Koncesionář a </w:t>
      </w:r>
      <w:proofErr w:type="spellStart"/>
      <w:r w:rsidRPr="00BA086E">
        <w:rPr>
          <w:rFonts w:cs="Arial"/>
          <w:sz w:val="18"/>
          <w:szCs w:val="18"/>
        </w:rPr>
        <w:t>koncedent</w:t>
      </w:r>
      <w:proofErr w:type="spellEnd"/>
      <w:r w:rsidRPr="00BA086E">
        <w:rPr>
          <w:rFonts w:cs="Arial"/>
          <w:sz w:val="18"/>
          <w:szCs w:val="18"/>
        </w:rPr>
        <w:t xml:space="preserve"> se dohodli, že koncesionář je oprávněn po předchozím písemném souhlasu </w:t>
      </w:r>
      <w:proofErr w:type="spellStart"/>
      <w:r w:rsidRPr="00BA086E">
        <w:rPr>
          <w:rFonts w:cs="Arial"/>
          <w:sz w:val="18"/>
          <w:szCs w:val="18"/>
        </w:rPr>
        <w:t>koncedenta</w:t>
      </w:r>
      <w:proofErr w:type="spellEnd"/>
      <w:r w:rsidRPr="00BA086E">
        <w:rPr>
          <w:rFonts w:cs="Arial"/>
          <w:sz w:val="18"/>
          <w:szCs w:val="18"/>
        </w:rPr>
        <w:t xml:space="preserve"> uzavřít Foyer Café pro soukromé účely. Písemným souhlasem se rozumí žádost, která musí být podána </w:t>
      </w:r>
      <w:proofErr w:type="spellStart"/>
      <w:r w:rsidRPr="00BA086E">
        <w:rPr>
          <w:rFonts w:cs="Arial"/>
          <w:sz w:val="18"/>
          <w:szCs w:val="18"/>
        </w:rPr>
        <w:t>koncedentovi</w:t>
      </w:r>
      <w:proofErr w:type="spellEnd"/>
      <w:r w:rsidRPr="00BA086E">
        <w:rPr>
          <w:rFonts w:cs="Arial"/>
          <w:sz w:val="18"/>
          <w:szCs w:val="18"/>
        </w:rPr>
        <w:t xml:space="preserve"> alespoň 14 dnů přepřed konáním akce e-mailem uvedeným </w:t>
      </w:r>
      <w:r w:rsidR="00C26008">
        <w:rPr>
          <w:rFonts w:cs="Arial"/>
          <w:sz w:val="18"/>
          <w:szCs w:val="18"/>
        </w:rPr>
        <w:t>ve smlouvě</w:t>
      </w:r>
      <w:r w:rsidRPr="00BA086E">
        <w:rPr>
          <w:rFonts w:cs="Arial"/>
          <w:sz w:val="18"/>
          <w:szCs w:val="18"/>
        </w:rPr>
        <w:t xml:space="preserve">, a zároveň musí být </w:t>
      </w:r>
      <w:proofErr w:type="spellStart"/>
      <w:r w:rsidRPr="00BA086E">
        <w:rPr>
          <w:rFonts w:cs="Arial"/>
          <w:sz w:val="18"/>
          <w:szCs w:val="18"/>
        </w:rPr>
        <w:t>koncedentem</w:t>
      </w:r>
      <w:proofErr w:type="spellEnd"/>
      <w:r w:rsidRPr="00BA086E">
        <w:rPr>
          <w:rFonts w:cs="Arial"/>
          <w:sz w:val="18"/>
          <w:szCs w:val="18"/>
        </w:rPr>
        <w:t xml:space="preserve"> písemně odsouhlasena. Případná soukromá akce koncesionáře nesmí kolidovat s žádnou jinou akcí, která by byla ve Fantově sále pořádána.</w:t>
      </w:r>
    </w:p>
    <w:p w:rsidR="00BA086E" w:rsidRPr="00BA086E" w:rsidRDefault="00BA086E" w:rsidP="00BA086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 </w:t>
      </w:r>
    </w:p>
    <w:p w:rsidR="00BA086E" w:rsidRPr="00BA086E" w:rsidRDefault="00BA086E" w:rsidP="00BA086E">
      <w:pPr>
        <w:pStyle w:val="Odstavecseseznamem"/>
        <w:numPr>
          <w:ilvl w:val="0"/>
          <w:numId w:val="12"/>
        </w:numPr>
        <w:spacing w:after="240" w:line="264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Požadavky </w:t>
      </w:r>
      <w:r w:rsidRPr="00BA086E">
        <w:rPr>
          <w:rFonts w:cs="Arial"/>
          <w:sz w:val="18"/>
          <w:szCs w:val="18"/>
        </w:rPr>
        <w:t xml:space="preserve">vázající se k </w:t>
      </w:r>
      <w:r w:rsidRPr="00BA086E">
        <w:rPr>
          <w:rFonts w:cs="Arial"/>
          <w:b/>
          <w:bCs/>
          <w:sz w:val="18"/>
          <w:szCs w:val="18"/>
        </w:rPr>
        <w:t>Salónku</w:t>
      </w:r>
      <w:r w:rsidRPr="00BA086E">
        <w:rPr>
          <w:rFonts w:cs="Arial"/>
          <w:sz w:val="18"/>
          <w:szCs w:val="18"/>
        </w:rPr>
        <w:t xml:space="preserve"> jsou vymezeny takto:</w:t>
      </w:r>
    </w:p>
    <w:p w:rsidR="00BA086E" w:rsidRPr="00BA086E" w:rsidRDefault="00BA086E" w:rsidP="00BA086E">
      <w:pPr>
        <w:pStyle w:val="Odstavecseseznamem"/>
        <w:tabs>
          <w:tab w:val="left" w:pos="0"/>
        </w:tabs>
        <w:spacing w:after="0"/>
        <w:jc w:val="both"/>
        <w:rPr>
          <w:rFonts w:cs="Arial"/>
          <w:bCs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Koncesionář se zavazuje obsluhovat v rámci svých služeb i prostor Salónku, přičemž tato obsluha musí být přednostní. </w:t>
      </w:r>
    </w:p>
    <w:p w:rsidR="00BA086E" w:rsidRPr="00BA086E" w:rsidRDefault="00BA086E" w:rsidP="00BA086E">
      <w:pPr>
        <w:pStyle w:val="Odstavecseseznamem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cs="Arial"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Do Salónku mohou vstupovat pouze osoby s pozváním </w:t>
      </w:r>
      <w:proofErr w:type="spellStart"/>
      <w:r w:rsidRPr="00BA086E">
        <w:rPr>
          <w:rFonts w:cs="Arial"/>
          <w:sz w:val="18"/>
          <w:szCs w:val="18"/>
        </w:rPr>
        <w:t>koncedenta</w:t>
      </w:r>
      <w:proofErr w:type="spellEnd"/>
      <w:r w:rsidRPr="00BA086E">
        <w:rPr>
          <w:rFonts w:cs="Arial"/>
          <w:sz w:val="18"/>
          <w:szCs w:val="18"/>
        </w:rPr>
        <w:t xml:space="preserve">. Koncesionář je povinný umožnit vstup do Salónku </w:t>
      </w:r>
      <w:proofErr w:type="spellStart"/>
      <w:r w:rsidRPr="00BA086E">
        <w:rPr>
          <w:rFonts w:cs="Arial"/>
          <w:sz w:val="18"/>
          <w:szCs w:val="18"/>
        </w:rPr>
        <w:t>koncendetovi</w:t>
      </w:r>
      <w:proofErr w:type="spellEnd"/>
      <w:r w:rsidRPr="00BA086E">
        <w:rPr>
          <w:rFonts w:cs="Arial"/>
          <w:sz w:val="18"/>
          <w:szCs w:val="18"/>
        </w:rPr>
        <w:t xml:space="preserve"> kdykoli. Salónek není předmětem přenechaných prostor, a proto nesmí být koncesionářem jinak užíván. Koncesionář musí zajistit přístup do Salónku v případě konání akce bez jakéhokoli omezení. </w:t>
      </w:r>
    </w:p>
    <w:p w:rsidR="00BA086E" w:rsidRPr="00BA086E" w:rsidRDefault="00BA086E" w:rsidP="00BA086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>Úhrada za obsluhu bude sjednána individuálně mezi smluvními stranami v návaznosti na jednotlivé akce. Cena za tyto služby musí být ze strany koncesionáře v místě a čase obvyklá.</w:t>
      </w:r>
    </w:p>
    <w:p w:rsidR="00BA086E" w:rsidRPr="00BA086E" w:rsidRDefault="00BA086E" w:rsidP="00BA086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O nutnosti obsluhy Salónku bude koncesionář obeznámen v dostatečném časovém předstihu, tj. minimálně 24 hodin před konáním dané akce, a to zpravidla telefonicky či písemně e-mailem skrze kontakty uvedené </w:t>
      </w:r>
      <w:r w:rsidR="00C26008">
        <w:rPr>
          <w:rFonts w:cs="Arial"/>
          <w:sz w:val="18"/>
          <w:szCs w:val="18"/>
        </w:rPr>
        <w:t>ve smlouvě</w:t>
      </w:r>
      <w:r w:rsidRPr="00BA086E">
        <w:rPr>
          <w:rFonts w:cs="Arial"/>
          <w:sz w:val="18"/>
          <w:szCs w:val="18"/>
        </w:rPr>
        <w:t xml:space="preserve">. </w:t>
      </w:r>
    </w:p>
    <w:p w:rsidR="00BA086E" w:rsidRPr="00BA086E" w:rsidRDefault="00BA086E" w:rsidP="00BA086E">
      <w:pPr>
        <w:pStyle w:val="Odstavecseseznamem"/>
        <w:tabs>
          <w:tab w:val="left" w:pos="0"/>
        </w:tabs>
        <w:spacing w:after="0"/>
        <w:ind w:left="1440"/>
        <w:jc w:val="both"/>
        <w:rPr>
          <w:rFonts w:cs="Arial"/>
          <w:bCs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12"/>
        </w:numPr>
        <w:spacing w:after="240" w:line="264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Požadavky vázající se </w:t>
      </w:r>
      <w:r w:rsidRPr="00BA086E">
        <w:rPr>
          <w:rFonts w:cs="Arial"/>
          <w:sz w:val="18"/>
          <w:szCs w:val="18"/>
        </w:rPr>
        <w:t xml:space="preserve">k </w:t>
      </w:r>
      <w:r w:rsidRPr="00BA086E">
        <w:rPr>
          <w:rFonts w:cs="Arial"/>
          <w:b/>
          <w:bCs/>
          <w:sz w:val="18"/>
          <w:szCs w:val="18"/>
        </w:rPr>
        <w:t>Sloupovému sálu</w:t>
      </w:r>
      <w:r w:rsidRPr="00BA086E">
        <w:rPr>
          <w:rFonts w:cs="Arial"/>
          <w:sz w:val="18"/>
          <w:szCs w:val="18"/>
        </w:rPr>
        <w:t xml:space="preserve"> jsou vymezeny takto:</w:t>
      </w:r>
    </w:p>
    <w:p w:rsidR="00BA086E" w:rsidRPr="00BA086E" w:rsidRDefault="00BA086E" w:rsidP="00BA086E">
      <w:pPr>
        <w:pStyle w:val="Odstavecseseznamem"/>
        <w:tabs>
          <w:tab w:val="left" w:pos="0"/>
        </w:tabs>
        <w:spacing w:after="0"/>
        <w:jc w:val="both"/>
        <w:rPr>
          <w:rFonts w:cs="Arial"/>
          <w:bCs/>
          <w:sz w:val="18"/>
          <w:szCs w:val="18"/>
        </w:rPr>
      </w:pPr>
    </w:p>
    <w:p w:rsidR="00C26008" w:rsidRPr="00C26008" w:rsidRDefault="00C26008" w:rsidP="00C26008">
      <w:pPr>
        <w:pStyle w:val="Odstavecseseznamem"/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26008">
        <w:rPr>
          <w:rFonts w:cs="Arial"/>
          <w:sz w:val="18"/>
          <w:szCs w:val="18"/>
        </w:rPr>
        <w:t xml:space="preserve">Koncesionář a </w:t>
      </w:r>
      <w:proofErr w:type="spellStart"/>
      <w:r w:rsidRPr="00C26008">
        <w:rPr>
          <w:rFonts w:cs="Arial"/>
          <w:sz w:val="18"/>
          <w:szCs w:val="18"/>
        </w:rPr>
        <w:t>koncedent</w:t>
      </w:r>
      <w:proofErr w:type="spellEnd"/>
      <w:r w:rsidRPr="00C26008">
        <w:rPr>
          <w:rFonts w:cs="Arial"/>
          <w:sz w:val="18"/>
          <w:szCs w:val="18"/>
        </w:rPr>
        <w:t xml:space="preserve"> se dohodli, že koncesionář je povinen mít Sloupový sál otevřen pro veřejnost každý den včetně víkendů a státních svátků po dobu 12 souvislých hodin s počátkem otevírací doby od 9:30 do 21:30. </w:t>
      </w:r>
      <w:proofErr w:type="spellStart"/>
      <w:r w:rsidRPr="00C26008">
        <w:rPr>
          <w:rFonts w:cs="Arial"/>
          <w:sz w:val="18"/>
          <w:szCs w:val="18"/>
        </w:rPr>
        <w:t>Koncedent</w:t>
      </w:r>
      <w:proofErr w:type="spellEnd"/>
      <w:r w:rsidRPr="00C26008">
        <w:rPr>
          <w:rFonts w:cs="Arial"/>
          <w:sz w:val="18"/>
          <w:szCs w:val="18"/>
        </w:rPr>
        <w:t xml:space="preserve"> a koncesionář se mohou dohodnout na změně otevírací doby.</w:t>
      </w:r>
    </w:p>
    <w:p w:rsidR="00BA086E" w:rsidRPr="00BA086E" w:rsidRDefault="00BA086E" w:rsidP="00BA086E">
      <w:pPr>
        <w:pStyle w:val="Odstavecseseznamem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cs="Arial"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Nabízený sortiment musí být odlišného charakteru, než bude sortiment, který bude ve Foyer Café. </w:t>
      </w:r>
    </w:p>
    <w:p w:rsidR="00BA086E" w:rsidRPr="00BA086E" w:rsidRDefault="00BA086E" w:rsidP="00BA086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>Sloupový sál nemůže být využit koncesionářem k jeho soukromým akcím, kde by docházelo k omezení přístupu veřejnosti.</w:t>
      </w:r>
      <w:bookmarkStart w:id="2" w:name="_GoBack"/>
      <w:bookmarkEnd w:id="2"/>
    </w:p>
    <w:p w:rsidR="00BA086E" w:rsidRPr="00BA086E" w:rsidRDefault="00BA086E" w:rsidP="00BA086E">
      <w:pPr>
        <w:pStyle w:val="Odstavecseseznamem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cs="Arial"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V případě, že se v Salónku, který přiléhá k Sloupovému sálu, budou konat </w:t>
      </w:r>
      <w:proofErr w:type="gramStart"/>
      <w:r w:rsidRPr="00BA086E">
        <w:rPr>
          <w:rFonts w:cs="Arial"/>
          <w:sz w:val="18"/>
          <w:szCs w:val="18"/>
        </w:rPr>
        <w:t>akce jejichž</w:t>
      </w:r>
      <w:proofErr w:type="gramEnd"/>
      <w:r w:rsidRPr="00BA086E">
        <w:rPr>
          <w:rFonts w:cs="Arial"/>
          <w:sz w:val="18"/>
          <w:szCs w:val="18"/>
        </w:rPr>
        <w:t xml:space="preserve"> charakter to vyžaduje, bude koncesionář povinen uzavřít po dobu konání akce dámské toalety, které budou pro ostatní návštěvníky Sloupového sálu uzavřeny. O </w:t>
      </w:r>
      <w:r w:rsidRPr="00BA086E">
        <w:rPr>
          <w:rFonts w:cs="Arial"/>
          <w:sz w:val="18"/>
          <w:szCs w:val="18"/>
        </w:rPr>
        <w:lastRenderedPageBreak/>
        <w:t xml:space="preserve">této povinnosti bude koncesionář obeznámen spolu s oznámením o nutnosti obsluhy Salónku dle výše uvedeného. </w:t>
      </w:r>
    </w:p>
    <w:p w:rsidR="00BA086E" w:rsidRPr="00BA086E" w:rsidRDefault="00BA086E" w:rsidP="00BA086E">
      <w:pPr>
        <w:pStyle w:val="Odstavecseseznamem"/>
        <w:rPr>
          <w:rFonts w:cs="Arial"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Z důvodu konání kulturní akce ve Fantově sále (zejména s ohledem na charakter a rozsah dané kulturní akce) je </w:t>
      </w:r>
      <w:proofErr w:type="spellStart"/>
      <w:r w:rsidRPr="00BA086E">
        <w:rPr>
          <w:rFonts w:cs="Arial"/>
          <w:sz w:val="18"/>
          <w:szCs w:val="18"/>
        </w:rPr>
        <w:t>koncedent</w:t>
      </w:r>
      <w:proofErr w:type="spellEnd"/>
      <w:r w:rsidRPr="00BA086E">
        <w:rPr>
          <w:rFonts w:cs="Arial"/>
          <w:sz w:val="18"/>
          <w:szCs w:val="18"/>
        </w:rPr>
        <w:t xml:space="preserve"> oprávněn koncesionáři nařídit otevírací dobu Sloupového sálu. Zároveň je </w:t>
      </w:r>
      <w:proofErr w:type="spellStart"/>
      <w:r w:rsidRPr="00BA086E">
        <w:rPr>
          <w:rFonts w:cs="Arial"/>
          <w:sz w:val="18"/>
          <w:szCs w:val="18"/>
        </w:rPr>
        <w:t>koncedent</w:t>
      </w:r>
      <w:proofErr w:type="spellEnd"/>
      <w:r w:rsidRPr="00BA086E">
        <w:rPr>
          <w:rFonts w:cs="Arial"/>
          <w:sz w:val="18"/>
          <w:szCs w:val="18"/>
        </w:rPr>
        <w:t xml:space="preserve"> oprávněn nařídit koncesionáři uzavřít Sloupový sál pro širokou veřejnost a otevřít jí pouze pro hosty kulturní akce. Koncesionář v takovém případě odpovídá, za to, že se ve Sloupovém sálu nebudou nacházet osoby, které nejsou účastníky dané kulturní akce. O konání akce bude koncesionář obeznámen s časovým předstihem minimálně ve lhůtě 14 dnů před konáním kulturní akce, a to prostřednictvím e-mailové adresy uvedené </w:t>
      </w:r>
      <w:r w:rsidR="00C26008">
        <w:rPr>
          <w:rFonts w:cs="Arial"/>
          <w:sz w:val="18"/>
          <w:szCs w:val="18"/>
        </w:rPr>
        <w:t>ve smlouvě</w:t>
      </w:r>
      <w:r w:rsidRPr="00BA086E">
        <w:rPr>
          <w:rFonts w:cs="Arial"/>
          <w:sz w:val="18"/>
          <w:szCs w:val="18"/>
        </w:rPr>
        <w:t>.</w:t>
      </w:r>
    </w:p>
    <w:p w:rsidR="00BA086E" w:rsidRPr="00BA086E" w:rsidRDefault="00BA086E" w:rsidP="00BA086E">
      <w:pPr>
        <w:pStyle w:val="Odstavecseseznamem"/>
        <w:tabs>
          <w:tab w:val="left" w:pos="0"/>
        </w:tabs>
        <w:spacing w:after="0"/>
        <w:ind w:left="1440"/>
        <w:jc w:val="both"/>
        <w:rPr>
          <w:rFonts w:cs="Arial"/>
          <w:bCs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12"/>
        </w:numPr>
        <w:spacing w:after="240" w:line="264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Požadavky </w:t>
      </w:r>
      <w:r w:rsidRPr="00BA086E">
        <w:rPr>
          <w:rFonts w:cs="Arial"/>
          <w:sz w:val="18"/>
          <w:szCs w:val="18"/>
        </w:rPr>
        <w:t xml:space="preserve">vázající se ke </w:t>
      </w:r>
      <w:r w:rsidRPr="00BA086E">
        <w:rPr>
          <w:rFonts w:cs="Arial"/>
          <w:b/>
          <w:bCs/>
          <w:sz w:val="18"/>
          <w:szCs w:val="18"/>
        </w:rPr>
        <w:t>Cateringové přípravně</w:t>
      </w:r>
      <w:r w:rsidRPr="00BA086E">
        <w:rPr>
          <w:rFonts w:cs="Arial"/>
          <w:sz w:val="18"/>
          <w:szCs w:val="18"/>
        </w:rPr>
        <w:t xml:space="preserve"> jsou vymezeny takto:</w:t>
      </w:r>
    </w:p>
    <w:p w:rsidR="00BA086E" w:rsidRPr="00BA086E" w:rsidRDefault="00BA086E" w:rsidP="00BA086E">
      <w:pPr>
        <w:pStyle w:val="Odstavecseseznamem"/>
        <w:tabs>
          <w:tab w:val="left" w:pos="0"/>
        </w:tabs>
        <w:spacing w:after="0"/>
        <w:jc w:val="both"/>
        <w:rPr>
          <w:rFonts w:cs="Arial"/>
          <w:bCs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V případě potřeby </w:t>
      </w:r>
      <w:proofErr w:type="spellStart"/>
      <w:r w:rsidRPr="00BA086E">
        <w:rPr>
          <w:rFonts w:cs="Arial"/>
          <w:sz w:val="18"/>
          <w:szCs w:val="18"/>
        </w:rPr>
        <w:t>koncedenta</w:t>
      </w:r>
      <w:proofErr w:type="spellEnd"/>
      <w:r w:rsidRPr="00BA086E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je</w:t>
      </w:r>
      <w:r w:rsidRPr="00BA086E">
        <w:rPr>
          <w:rFonts w:cs="Arial"/>
          <w:sz w:val="18"/>
          <w:szCs w:val="18"/>
        </w:rPr>
        <w:t xml:space="preserve"> koncesionář povinen vyklidit, a to s předstihem, cateringovou přípravnu a předat ji určenému subjektu (včetně přenechaného </w:t>
      </w:r>
      <w:proofErr w:type="spellStart"/>
      <w:r w:rsidRPr="00BA086E">
        <w:rPr>
          <w:rFonts w:cs="Arial"/>
          <w:sz w:val="18"/>
          <w:szCs w:val="18"/>
        </w:rPr>
        <w:t>gastro</w:t>
      </w:r>
      <w:proofErr w:type="spellEnd"/>
      <w:r w:rsidRPr="00BA086E">
        <w:rPr>
          <w:rFonts w:cs="Arial"/>
          <w:sz w:val="18"/>
          <w:szCs w:val="18"/>
        </w:rPr>
        <w:t xml:space="preserve"> vybavení), zároveň je povinen si ji převzít od určeného subjektu následně zpět (včetně přenechaného </w:t>
      </w:r>
      <w:proofErr w:type="spellStart"/>
      <w:r w:rsidRPr="00BA086E">
        <w:rPr>
          <w:rFonts w:cs="Arial"/>
          <w:sz w:val="18"/>
          <w:szCs w:val="18"/>
        </w:rPr>
        <w:t>gastro</w:t>
      </w:r>
      <w:proofErr w:type="spellEnd"/>
      <w:r w:rsidRPr="00BA086E">
        <w:rPr>
          <w:rFonts w:cs="Arial"/>
          <w:sz w:val="18"/>
          <w:szCs w:val="18"/>
        </w:rPr>
        <w:t xml:space="preserve"> vybavení). </w:t>
      </w:r>
    </w:p>
    <w:p w:rsidR="00BA086E" w:rsidRPr="00BA086E" w:rsidRDefault="00BA086E" w:rsidP="00BA086E">
      <w:pPr>
        <w:pStyle w:val="Odstavecseseznamem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cs="Arial"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V případě, že se pořadatel kulturní akce dohodne s koncesionářem v dostatečném časovém předstihu (nejpozději však 14 dní před datem konání dané kulturní akce), je oprávněn si zajistit catering z vlastních zdrojů. V takovém případě předá koncesionář pořadateli akce Cateringovou přípravnu a pak jej od něj převezme (včetně přenechaného </w:t>
      </w:r>
      <w:proofErr w:type="spellStart"/>
      <w:r w:rsidRPr="00BA086E">
        <w:rPr>
          <w:rFonts w:cs="Arial"/>
          <w:sz w:val="18"/>
          <w:szCs w:val="18"/>
        </w:rPr>
        <w:t>gastro</w:t>
      </w:r>
      <w:proofErr w:type="spellEnd"/>
      <w:r w:rsidRPr="00BA086E">
        <w:rPr>
          <w:rFonts w:cs="Arial"/>
          <w:sz w:val="18"/>
          <w:szCs w:val="18"/>
        </w:rPr>
        <w:t xml:space="preserve"> vybavení). Koncesionář odpovídá za škodu, kterou způsobí na zařízení Cateringové přípravny pořadatel dané kulturní akce. Informaci o tom, že si třetí osoba chce zajistit catering skrze třetí osoby je koncesionáři povinna sdělit nejpozději 14 dní před konáním akce. </w:t>
      </w:r>
    </w:p>
    <w:p w:rsidR="00BA086E" w:rsidRPr="00BA086E" w:rsidRDefault="00BA086E" w:rsidP="00BA086E">
      <w:pPr>
        <w:pStyle w:val="Odstavecseseznamem"/>
        <w:rPr>
          <w:rFonts w:cs="Arial"/>
          <w:sz w:val="18"/>
          <w:szCs w:val="18"/>
        </w:rPr>
      </w:pPr>
    </w:p>
    <w:p w:rsidR="00BA086E" w:rsidRPr="00BA086E" w:rsidRDefault="00BA086E" w:rsidP="00BA086E">
      <w:pPr>
        <w:pStyle w:val="Odstavecseseznamem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BA086E">
        <w:rPr>
          <w:rFonts w:cs="Arial"/>
          <w:sz w:val="18"/>
          <w:szCs w:val="18"/>
        </w:rPr>
        <w:t xml:space="preserve">Za dobu, kdy nebude moct koncesionář užívat Cateringovou přípravnu, mu bude </w:t>
      </w:r>
      <w:proofErr w:type="spellStart"/>
      <w:r w:rsidRPr="00BA086E">
        <w:rPr>
          <w:rFonts w:cs="Arial"/>
          <w:sz w:val="18"/>
          <w:szCs w:val="18"/>
        </w:rPr>
        <w:t>koncedentem</w:t>
      </w:r>
      <w:proofErr w:type="spellEnd"/>
      <w:r w:rsidRPr="00BA086E">
        <w:rPr>
          <w:rFonts w:cs="Arial"/>
          <w:sz w:val="18"/>
          <w:szCs w:val="18"/>
        </w:rPr>
        <w:t xml:space="preserve"> vrácena poměrná část koncesionářského poplatku v návaznosti na dobu užívání a rozlohu Cateringové přípravny.  </w:t>
      </w:r>
    </w:p>
    <w:p w:rsidR="002653FB" w:rsidRPr="00BA086E" w:rsidRDefault="002653FB" w:rsidP="002653FB">
      <w:pPr>
        <w:rPr>
          <w:sz w:val="18"/>
          <w:szCs w:val="18"/>
        </w:rPr>
      </w:pPr>
    </w:p>
    <w:p w:rsidR="002653FB" w:rsidRDefault="002653FB" w:rsidP="002653FB"/>
    <w:sectPr w:rsidR="00265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06A4"/>
    <w:multiLevelType w:val="hybridMultilevel"/>
    <w:tmpl w:val="DDDCE7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3C5781"/>
    <w:multiLevelType w:val="hybridMultilevel"/>
    <w:tmpl w:val="6B307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23DCF"/>
    <w:multiLevelType w:val="hybridMultilevel"/>
    <w:tmpl w:val="F566CD1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CC5615"/>
    <w:multiLevelType w:val="hybridMultilevel"/>
    <w:tmpl w:val="4C9C7DA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622D16"/>
    <w:multiLevelType w:val="hybridMultilevel"/>
    <w:tmpl w:val="C136DD16"/>
    <w:lvl w:ilvl="0" w:tplc="1778C0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Arial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60C60"/>
    <w:multiLevelType w:val="hybridMultilevel"/>
    <w:tmpl w:val="DA520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52A0C"/>
    <w:multiLevelType w:val="hybridMultilevel"/>
    <w:tmpl w:val="A140BD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4F071C"/>
    <w:multiLevelType w:val="hybridMultilevel"/>
    <w:tmpl w:val="2FE263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E60C9F"/>
    <w:multiLevelType w:val="hybridMultilevel"/>
    <w:tmpl w:val="C5F84D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030097"/>
    <w:multiLevelType w:val="hybridMultilevel"/>
    <w:tmpl w:val="C2E8C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01DBB"/>
    <w:multiLevelType w:val="hybridMultilevel"/>
    <w:tmpl w:val="8EDAC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D023E"/>
    <w:multiLevelType w:val="hybridMultilevel"/>
    <w:tmpl w:val="27D2010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A8D"/>
    <w:rsid w:val="00127826"/>
    <w:rsid w:val="002653FB"/>
    <w:rsid w:val="003727EC"/>
    <w:rsid w:val="004B536E"/>
    <w:rsid w:val="00501B59"/>
    <w:rsid w:val="005560FD"/>
    <w:rsid w:val="00660F99"/>
    <w:rsid w:val="00685A8D"/>
    <w:rsid w:val="0086033A"/>
    <w:rsid w:val="00920634"/>
    <w:rsid w:val="00B40CA0"/>
    <w:rsid w:val="00BA086E"/>
    <w:rsid w:val="00BF6A6B"/>
    <w:rsid w:val="00C2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4EE63"/>
  <w15:chartTrackingRefBased/>
  <w15:docId w15:val="{7C37E7C7-33A0-46EC-8511-0E63D2FC5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99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BA0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742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Krejbychová Terezie, DiS.</dc:creator>
  <cp:keywords/>
  <dc:description/>
  <cp:lastModifiedBy>Stejskal Pavel, Ing.</cp:lastModifiedBy>
  <cp:revision>6</cp:revision>
  <dcterms:created xsi:type="dcterms:W3CDTF">2023-01-13T09:57:00Z</dcterms:created>
  <dcterms:modified xsi:type="dcterms:W3CDTF">2023-02-15T12:29:00Z</dcterms:modified>
</cp:coreProperties>
</file>