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D21DDC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>
          <w:rPr>
            <w:rStyle w:val="Nzevakce"/>
          </w:rPr>
        </w:sdtEndPr>
        <w:sdtContent>
          <w:r w:rsidR="006A00ED" w:rsidRPr="009C342D">
            <w:rPr>
              <w:rStyle w:val="Nzevakce"/>
            </w:rPr>
            <w:t>„</w:t>
          </w:r>
          <w:r w:rsidR="006A00ED">
            <w:rPr>
              <w:rStyle w:val="Nzevakce"/>
            </w:rPr>
            <w:t>…</w:t>
          </w:r>
          <w:r w:rsidR="006A00ED" w:rsidRPr="009C342D">
            <w:rPr>
              <w:rStyle w:val="Nzevakce"/>
            </w:rPr>
            <w:t>“</w:t>
          </w:r>
        </w:sdtContent>
      </w:sdt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25379E">
        <w:t>14</w:t>
      </w:r>
      <w:r w:rsidR="003D5B89" w:rsidRPr="008D63E4">
        <w:t>.</w:t>
      </w:r>
      <w:r w:rsidRPr="008D63E4">
        <w:t xml:space="preserve"> </w:t>
      </w:r>
      <w:r w:rsidR="006366CC">
        <w:t>0</w:t>
      </w:r>
      <w:r w:rsidR="0025379E">
        <w:t>2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25379E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25379E" w:rsidRPr="00F2688E" w:rsidTr="00900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25379E" w:rsidRPr="00F2688E" w:rsidRDefault="0025379E" w:rsidP="009009E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3D75AD">
              <w:rPr>
                <w:sz w:val="18"/>
              </w:rPr>
              <w:t>Modernizace trati Praha-Veleslavín (včetně) – Praha-Ruzyně (včetně)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DUSL a PDPS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S632100033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trat č</w:t>
            </w:r>
            <w:r>
              <w:rPr>
                <w:sz w:val="18"/>
              </w:rPr>
              <w:t>.</w:t>
            </w:r>
            <w:r w:rsidRPr="003D75AD">
              <w:rPr>
                <w:sz w:val="18"/>
              </w:rPr>
              <w:t xml:space="preserve"> 120 Praha – Kladno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TÚ Praha-Veleslavín – Praha-Ruzyně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5379E" w:rsidRPr="00F2688E" w:rsidRDefault="0025379E" w:rsidP="009009E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Hl. m. Praha</w:t>
            </w:r>
          </w:p>
        </w:tc>
      </w:tr>
      <w:tr w:rsidR="0025379E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5379E" w:rsidRPr="00690CCF" w:rsidRDefault="0025379E" w:rsidP="009009E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5379E" w:rsidRPr="00690CCF" w:rsidRDefault="0025379E" w:rsidP="009009E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Dejvice, Vokovice, Veleslavín, Břevnov, Liboc, Ruzyně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5379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25379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213744" w:rsidRPr="00F2688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0793112"/>
      <w:r>
        <w:t>Popis stavby</w:t>
      </w:r>
      <w:bookmarkEnd w:id="14"/>
    </w:p>
    <w:p w:rsidR="0025379E" w:rsidRDefault="0025379E" w:rsidP="0025379E">
      <w:pPr>
        <w:pStyle w:val="Textbezslovn"/>
      </w:pPr>
      <w:r>
        <w:t xml:space="preserve">Stavba je součásti celkového záměru modernizace a novostavba trati Praha – Kladno s připojením Letiště Václava Havla, který je jedním z nejrozsáhlejších připravovaných infrastrukturních projektů v ČR. Jejím záměrem je napojit Letiště Václava Havla na železnici a modernizovat stávající jednokolejnou trať mezi Prahou a Kladnem. </w:t>
      </w:r>
    </w:p>
    <w:p w:rsidR="0025379E" w:rsidRDefault="0025379E" w:rsidP="0025379E">
      <w:pPr>
        <w:pStyle w:val="Textbezslovn"/>
        <w:rPr>
          <w:rFonts w:asciiTheme="majorHAnsi" w:hAnsiTheme="majorHAnsi"/>
          <w:b/>
          <w:caps/>
          <w:sz w:val="22"/>
        </w:rPr>
      </w:pPr>
      <w:r>
        <w:t>Stavba Modernizace trati Praha-Veleslavín (včetně) – Praha-Ruzyně (včetně) je dílčí stavbou uvedeného celkového záměru. Jedná se o modernizaci úseku Veleslavín – Ruzyně, který bude zdvoukolejněn a elektrifikován. Součástí stavby je i výstavba nové železniční stanice Praha-Veleslavín. Její podoba vzešla z mezinárodní architektonické soutěže. Železniční stanice bude přímo napojena na stanici metra Nádraží Veleslavín. Dále dojde k výstavbě nové zastávky Praha-Liboc a modernizaci stanice Praha-Ruzyně. Projekt navíc počítá se zrušením všech železničních přejezdů.</w:t>
      </w:r>
      <w:bookmarkStart w:id="15" w:name="_Toc80793113"/>
      <w:bookmarkStart w:id="16" w:name="_GoBack"/>
      <w:bookmarkEnd w:id="16"/>
      <w:r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7" w:name="_Toc80793114"/>
      <w:r>
        <w:t>Definice činností odpovědných osob a členů Projektového týmu</w:t>
      </w:r>
      <w:bookmarkEnd w:id="17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8" w:name="_Toc80793115"/>
      <w:r>
        <w:lastRenderedPageBreak/>
        <w:t>Odpovědné osoby</w:t>
      </w:r>
      <w:bookmarkEnd w:id="18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5"/>
        <w:gridCol w:w="1160"/>
        <w:gridCol w:w="1304"/>
        <w:gridCol w:w="1404"/>
        <w:gridCol w:w="3585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[jméno příjmění]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>E-mail; Telefon</w:t>
            </w:r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25379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Koordinátor</w:t>
            </w:r>
            <w:r w:rsidR="004B7958">
              <w:rPr>
                <w:sz w:val="16"/>
                <w:szCs w:val="16"/>
              </w:rPr>
              <w:t xml:space="preserve"> BIM</w:t>
            </w:r>
            <w:r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D21DDC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1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6B75BB" w:rsidP="000E0D96">
      <w:pPr>
        <w:rPr>
          <w:sz w:val="22"/>
        </w:rPr>
      </w:pP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>Uvede se detailní harmonogram plnění Díla ne jenom ve vazbě na DiMS . Uvede se plán projednání jednotlivých částí díla a vazba na tvorbu DiMS.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>Tabulkovou formou bude uvedeno u jednotlivých částí Dokumentace i DiMS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C9345A" w:rsidRDefault="00C9345A" w:rsidP="00C9345A">
      <w:pPr>
        <w:pStyle w:val="Nadpis2-2"/>
        <w:spacing w:before="240" w:after="120"/>
      </w:pPr>
      <w:bookmarkStart w:id="25" w:name="_Toc80793121"/>
      <w:bookmarkStart w:id="26" w:name="_Toc51077167"/>
      <w:bookmarkStart w:id="27" w:name="_Toc80793122"/>
      <w:r>
        <w:t>Cíl 1 – Společné datové prostředí</w:t>
      </w:r>
      <w:bookmarkEnd w:id="25"/>
    </w:p>
    <w:p w:rsidR="00C9345A" w:rsidRPr="00DD2DD4" w:rsidRDefault="00C9345A" w:rsidP="00C9345A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C9345A" w:rsidRPr="0059043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345A" w:rsidRPr="00590432" w:rsidRDefault="00C9345A" w:rsidP="00C9345A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5A0F0C" w:rsidRDefault="00C9345A" w:rsidP="00C9345A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C9345A" w:rsidRPr="005A0F0C" w:rsidRDefault="00C9345A" w:rsidP="00C9345A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(příloha D.1 BIM Protokol)</w:t>
            </w:r>
          </w:p>
          <w:p w:rsidR="00C9345A" w:rsidRPr="005A0F0C" w:rsidRDefault="00C9345A" w:rsidP="00C9345A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(Common Data Environment – CDE) </w:t>
            </w:r>
          </w:p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(Příloha D.2  BIM Protokol)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Uvedou se termíny a období plnění cíle včetně milníků vztažených k harmonogramu plnění Díla dle SOD příloha č.5</w:t>
            </w:r>
          </w:p>
          <w:p w:rsidR="00C9345A" w:rsidRPr="00280FC6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Pr="00590432">
              <w:rPr>
                <w:b/>
                <w:sz w:val="18"/>
              </w:rPr>
              <w:t>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bodů. Podrobný popis plnění cíle (v případě, že cíl takovýto popis vyžaduje), bude uveden v monitorovací zprávě.</w:t>
            </w:r>
          </w:p>
          <w:p w:rsidR="00C9345A" w:rsidRPr="005A0F0C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r>
        <w:t>s</w:t>
      </w:r>
      <w:r w:rsidR="00806E6D">
        <w:t>DiMS</w:t>
      </w:r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>Seznam sdružených modelů sDiMS</w:t>
      </w:r>
      <w:r w:rsidRPr="000F4780">
        <w:rPr>
          <w:i/>
        </w:rPr>
        <w:t xml:space="preserve"> a jejich obsahová náplň – zařazený dílčí DiMS)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F5D9A" w:rsidRP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Obsahová náplň sDiMS</w:t>
            </w: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sDiMS_.....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r w:rsidR="00806E6D">
        <w:t>DiMS</w:t>
      </w:r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r w:rsidRPr="003332D4">
              <w:rPr>
                <w:b/>
                <w:i/>
                <w:sz w:val="16"/>
                <w:szCs w:val="16"/>
              </w:rPr>
              <w:t>DiMS</w:t>
            </w: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DiMS_Stávající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DiMS_Zabezpečovací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DiMS_Sdělovací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 xml:space="preserve">DiMS_Silnoproudá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r w:rsidRPr="00833F00">
              <w:t>DiMS_Ostatní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C8667E" w:rsidRDefault="00C8667E" w:rsidP="00C8667E">
      <w:pPr>
        <w:ind w:left="360"/>
        <w:rPr>
          <w:i/>
          <w:highlight w:val="green"/>
        </w:rPr>
      </w:pPr>
      <w:r>
        <w:rPr>
          <w:i/>
          <w:highlight w:val="green"/>
          <w:lang w:val="en-US"/>
        </w:rPr>
        <w:t>[</w:t>
      </w:r>
      <w:r w:rsidR="004D7B46" w:rsidRPr="00C8667E">
        <w:rPr>
          <w:i/>
          <w:highlight w:val="green"/>
        </w:rPr>
        <w:t>Projektová dokumentace pro provádění</w:t>
      </w:r>
      <w:r>
        <w:rPr>
          <w:i/>
          <w:highlight w:val="green"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C9345A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C9345A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C93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03149A" w:rsidRDefault="0003149A">
      <w:pPr>
        <w:rPr>
          <w:sz w:val="22"/>
        </w:rPr>
      </w:pPr>
      <w:r>
        <w:br w:type="page"/>
      </w:r>
    </w:p>
    <w:p w:rsidR="00442E26" w:rsidRPr="00A51005" w:rsidRDefault="00442E26" w:rsidP="00442E26">
      <w:pPr>
        <w:pStyle w:val="Nadpis2-2"/>
        <w:spacing w:before="240"/>
      </w:pPr>
      <w:r>
        <w:lastRenderedPageBreak/>
        <w:t>Struktura Dokumentace stavby</w:t>
      </w:r>
      <w:bookmarkEnd w:id="37"/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bookmarkStart w:id="38" w:name="_Toc51077171"/>
      <w:bookmarkStart w:id="39" w:name="_Toc80793129"/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</w:t>
      </w:r>
      <w:r>
        <w:t>.</w:t>
      </w:r>
      <w:r w:rsidRPr="000112FF">
        <w:t>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DDC" w:rsidRDefault="00D21DDC" w:rsidP="00962258">
      <w:r>
        <w:separator/>
      </w:r>
    </w:p>
  </w:endnote>
  <w:endnote w:type="continuationSeparator" w:id="0">
    <w:p w:rsidR="00D21DDC" w:rsidRDefault="00D21DD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9345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C9345A" w:rsidRPr="00B8518B" w:rsidRDefault="00C9345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379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379E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C9345A" w:rsidRPr="00800ECD" w:rsidRDefault="00D21DDC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5379E" w:rsidRPr="0025379E">
            <w:rPr>
              <w:b/>
              <w:bCs/>
              <w:noProof/>
            </w:rPr>
            <w:t>„…“</w:t>
          </w:r>
          <w:r>
            <w:rPr>
              <w:b/>
              <w:bCs/>
              <w:noProof/>
            </w:rPr>
            <w:fldChar w:fldCharType="end"/>
          </w:r>
        </w:p>
        <w:p w:rsidR="00C9345A" w:rsidRDefault="00C9345A" w:rsidP="00824308">
          <w:pPr>
            <w:pStyle w:val="Zpatvpravo"/>
            <w:contextualSpacing/>
          </w:pPr>
          <w:r>
            <w:t>BIM Protokol – Příloha C</w:t>
          </w:r>
        </w:p>
        <w:p w:rsidR="00C9345A" w:rsidRPr="003462EB" w:rsidRDefault="00C9345A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:rsidR="00C9345A" w:rsidRPr="00980288" w:rsidRDefault="00C9345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9345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9345A" w:rsidRPr="00AA0D55" w:rsidRDefault="00C9345A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25379E" w:rsidRPr="0025379E">
            <w:rPr>
              <w:bCs/>
              <w:noProof/>
            </w:rPr>
            <w:t>„…“</w:t>
          </w:r>
          <w:r w:rsidRPr="00AA0D55">
            <w:rPr>
              <w:b/>
              <w:noProof/>
            </w:rPr>
            <w:fldChar w:fldCharType="end"/>
          </w:r>
        </w:p>
        <w:p w:rsidR="00C9345A" w:rsidRDefault="00C9345A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C9345A" w:rsidRPr="003462EB" w:rsidRDefault="00C9345A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:rsidR="00C9345A" w:rsidRPr="009E09BE" w:rsidRDefault="00C9345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379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379E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C9345A" w:rsidRPr="00B8518B" w:rsidRDefault="00C9345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5A" w:rsidRPr="00B8518B" w:rsidRDefault="00C9345A" w:rsidP="00460660">
    <w:pPr>
      <w:pStyle w:val="Zpat"/>
      <w:rPr>
        <w:sz w:val="2"/>
        <w:szCs w:val="2"/>
      </w:rPr>
    </w:pPr>
  </w:p>
  <w:p w:rsidR="00C9345A" w:rsidRDefault="00C9345A" w:rsidP="00054FC6">
    <w:pPr>
      <w:pStyle w:val="Zpat"/>
      <w:rPr>
        <w:rFonts w:cs="Calibri"/>
        <w:szCs w:val="12"/>
      </w:rPr>
    </w:pPr>
  </w:p>
  <w:p w:rsidR="00C9345A" w:rsidRDefault="00C934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DDC" w:rsidRDefault="00D21DDC" w:rsidP="00962258">
      <w:r>
        <w:separator/>
      </w:r>
    </w:p>
  </w:footnote>
  <w:footnote w:type="continuationSeparator" w:id="0">
    <w:p w:rsidR="00D21DDC" w:rsidRDefault="00D21DD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345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9345A" w:rsidRPr="00B8518B" w:rsidRDefault="00C9345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Default="00C9345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Pr="00D6163D" w:rsidRDefault="00C9345A" w:rsidP="00D6163D">
          <w:pPr>
            <w:pStyle w:val="Druhdokumentu"/>
          </w:pPr>
        </w:p>
      </w:tc>
    </w:tr>
  </w:tbl>
  <w:p w:rsidR="00C9345A" w:rsidRPr="00D6163D" w:rsidRDefault="00C9345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</w:tbl>
  <w:p w:rsidR="00C9345A" w:rsidRPr="00D6163D" w:rsidRDefault="00C9345A" w:rsidP="00FC6389">
    <w:pPr>
      <w:pStyle w:val="Zhlav"/>
      <w:rPr>
        <w:sz w:val="8"/>
        <w:szCs w:val="8"/>
      </w:rPr>
    </w:pPr>
  </w:p>
  <w:p w:rsidR="00C9345A" w:rsidRPr="00460660" w:rsidRDefault="00C934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79E"/>
    <w:rsid w:val="002539A9"/>
    <w:rsid w:val="00257351"/>
    <w:rsid w:val="00261A5B"/>
    <w:rsid w:val="00262E5B"/>
    <w:rsid w:val="00273380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13AC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4C0B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0432"/>
    <w:rsid w:val="0059552A"/>
    <w:rsid w:val="005A0F0C"/>
    <w:rsid w:val="005A1F44"/>
    <w:rsid w:val="005A21DC"/>
    <w:rsid w:val="005B03EA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345A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DDC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FB3DE"/>
  <w14:defaultImageDpi w14:val="32767"/>
  <w15:docId w15:val="{2CFB62E9-5F2C-48C9-A708-67E6905F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itasek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154667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54667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8218D8"/>
    <w:rsid w:val="0091685B"/>
    <w:rsid w:val="0095232E"/>
    <w:rsid w:val="00961362"/>
    <w:rsid w:val="0099114A"/>
    <w:rsid w:val="009972D5"/>
    <w:rsid w:val="009A0BAE"/>
    <w:rsid w:val="009B4454"/>
    <w:rsid w:val="009D0745"/>
    <w:rsid w:val="00A55A14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6393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2594CF9-58D4-4D69-8B2A-947CD23B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16</Pages>
  <Words>2903</Words>
  <Characters>17134</Characters>
  <Application>Microsoft Office Word</Application>
  <DocSecurity>0</DocSecurity>
  <Lines>142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10</cp:revision>
  <cp:lastPrinted>2019-11-14T12:52:00Z</cp:lastPrinted>
  <dcterms:created xsi:type="dcterms:W3CDTF">2021-08-25T12:23:00Z</dcterms:created>
  <dcterms:modified xsi:type="dcterms:W3CDTF">2023-02-15T11:11:00Z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