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31C70E3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B01B81">
        <w:rPr>
          <w:rFonts w:asciiTheme="majorHAnsi" w:eastAsia="Times New Roman" w:hAnsiTheme="majorHAnsi" w:cs="Times New Roman"/>
          <w:lang w:eastAsia="cs-CZ"/>
        </w:rPr>
        <w:t>Příloha č.</w:t>
      </w:r>
      <w:r w:rsidR="00044C0B">
        <w:rPr>
          <w:rFonts w:asciiTheme="majorHAnsi" w:eastAsia="Times New Roman" w:hAnsiTheme="majorHAnsi" w:cs="Times New Roman"/>
          <w:lang w:eastAsia="cs-CZ"/>
        </w:rPr>
        <w:t xml:space="preserve"> 2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 xml:space="preserve"> </w:t>
      </w:r>
      <w:r w:rsidR="00A91F5F">
        <w:rPr>
          <w:rFonts w:asciiTheme="majorHAnsi" w:eastAsia="Times New Roman" w:hAnsiTheme="majorHAnsi" w:cs="Times New Roman"/>
          <w:lang w:eastAsia="cs-CZ"/>
        </w:rPr>
        <w:t>z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23B124A0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8B370D" w:rsidRPr="008B370D">
        <w:t xml:space="preserve">Ochrana </w:t>
      </w:r>
      <w:r w:rsidR="001242EB" w:rsidRPr="008B370D">
        <w:t>perimetru</w:t>
      </w:r>
      <w:r w:rsidR="008B370D" w:rsidRPr="008B370D">
        <w:t xml:space="preserve"> a DMZ – Anti-</w:t>
      </w:r>
      <w:proofErr w:type="spellStart"/>
      <w:r w:rsidR="008B370D" w:rsidRPr="008B370D">
        <w:t>DDoS</w:t>
      </w:r>
      <w:proofErr w:type="spellEnd"/>
      <w:r w:rsidR="008B370D" w:rsidRPr="008B370D">
        <w:t xml:space="preserve"> řešení a internetová konektivita</w:t>
      </w:r>
      <w:r w:rsidR="00813CE4" w:rsidRPr="00813CE4" w:rsidDel="008C71C7">
        <w:t xml:space="preserve"> 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52A5DC8A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1242EB" w:rsidRPr="001242EB">
        <w:rPr>
          <w:rFonts w:ascii="Verdana" w:eastAsia="Times New Roman" w:hAnsi="Verdana" w:cs="Times New Roman"/>
          <w:i/>
          <w:iCs/>
          <w:lang w:eastAsia="cs-CZ"/>
        </w:rPr>
        <w:t>Ochrana perimetru a DMZ – Anti-</w:t>
      </w:r>
      <w:proofErr w:type="spellStart"/>
      <w:r w:rsidR="001242EB" w:rsidRPr="001242EB">
        <w:rPr>
          <w:rFonts w:ascii="Verdana" w:eastAsia="Times New Roman" w:hAnsi="Verdana" w:cs="Times New Roman"/>
          <w:i/>
          <w:iCs/>
          <w:lang w:eastAsia="cs-CZ"/>
        </w:rPr>
        <w:t>DDoS</w:t>
      </w:r>
      <w:proofErr w:type="spellEnd"/>
      <w:r w:rsidR="001242EB" w:rsidRPr="001242EB">
        <w:rPr>
          <w:rFonts w:ascii="Verdana" w:eastAsia="Times New Roman" w:hAnsi="Verdana" w:cs="Times New Roman"/>
          <w:i/>
          <w:iCs/>
          <w:lang w:eastAsia="cs-CZ"/>
        </w:rPr>
        <w:t xml:space="preserve"> řešení a internetová konektivita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…………………… </w:t>
      </w:r>
      <w:r w:rsidRPr="001B24F7">
        <w:rPr>
          <w:rFonts w:ascii="Verdana" w:eastAsia="Times New Roman" w:hAnsi="Verdana" w:cs="Times New Roman"/>
          <w:lang w:eastAsia="cs-CZ"/>
        </w:rPr>
        <w:t>/ 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="00F36A9A" w:rsidRPr="00F36A9A">
        <w:rPr>
          <w:rFonts w:ascii="Verdana" w:eastAsia="Times New Roman" w:hAnsi="Verdana" w:cs="Times New Roman"/>
          <w:lang w:eastAsia="cs-CZ"/>
        </w:rPr>
        <w:t>6457</w:t>
      </w:r>
      <w:r w:rsidR="001B24F7" w:rsidRPr="00F36A9A">
        <w:rPr>
          <w:rFonts w:ascii="Verdana" w:eastAsia="Times New Roman" w:hAnsi="Verdana" w:cs="Times New Roman"/>
          <w:lang w:eastAsia="cs-CZ"/>
        </w:rPr>
        <w:t>/</w:t>
      </w:r>
      <w:r w:rsidR="001B24F7" w:rsidRPr="001B24F7">
        <w:rPr>
          <w:rFonts w:ascii="Verdana" w:eastAsia="Times New Roman" w:hAnsi="Verdana" w:cs="Times New Roman"/>
          <w:lang w:eastAsia="cs-CZ"/>
        </w:rPr>
        <w:t>2023-SŽ-GŘ-O8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2D7837" w:rsidRDefault="0056516D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Vlastní text Smlouvy;</w:t>
      </w:r>
    </w:p>
    <w:p w14:paraId="38F924D6" w14:textId="32AB7B47" w:rsidR="0056516D" w:rsidRPr="004F7D8B" w:rsidRDefault="01376915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 w:rsidRPr="2E31C0C9">
        <w:rPr>
          <w:lang w:eastAsia="cs-CZ"/>
        </w:rPr>
        <w:t xml:space="preserve">Přílohy č. </w:t>
      </w:r>
      <w:r w:rsidR="3B981D8B" w:rsidRPr="2E31C0C9">
        <w:rPr>
          <w:lang w:eastAsia="cs-CZ"/>
        </w:rPr>
        <w:t xml:space="preserve">1 až 3 </w:t>
      </w:r>
      <w:r w:rsidRPr="2E31C0C9">
        <w:rPr>
          <w:lang w:eastAsia="cs-CZ"/>
        </w:rPr>
        <w:t>Smlouvy;</w:t>
      </w:r>
    </w:p>
    <w:p w14:paraId="079BDAAC" w14:textId="5114C174" w:rsidR="0056516D" w:rsidRPr="002D7837" w:rsidRDefault="0056516D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Příloh</w:t>
      </w:r>
      <w:r w:rsidR="00516464" w:rsidRPr="002D7837">
        <w:rPr>
          <w:lang w:eastAsia="cs-CZ"/>
        </w:rPr>
        <w:t>a</w:t>
      </w:r>
      <w:r w:rsidRPr="002D7837">
        <w:rPr>
          <w:lang w:eastAsia="cs-CZ"/>
        </w:rPr>
        <w:t xml:space="preserve"> č. </w:t>
      </w:r>
      <w:r w:rsidR="00490CFF">
        <w:rPr>
          <w:lang w:eastAsia="cs-CZ"/>
        </w:rPr>
        <w:t>4</w:t>
      </w:r>
      <w:r w:rsidR="00490CFF" w:rsidRPr="002D7837">
        <w:rPr>
          <w:lang w:eastAsia="cs-CZ"/>
        </w:rPr>
        <w:t xml:space="preserve"> </w:t>
      </w:r>
      <w:r w:rsidRPr="002D7837">
        <w:rPr>
          <w:lang w:eastAsia="cs-CZ"/>
        </w:rPr>
        <w:t>Smlouvy</w:t>
      </w:r>
      <w:r w:rsidR="00516464" w:rsidRPr="002D7837">
        <w:rPr>
          <w:lang w:eastAsia="cs-CZ"/>
        </w:rPr>
        <w:t xml:space="preserve"> – </w:t>
      </w:r>
      <w:r w:rsidR="00C76A19" w:rsidRPr="002D7837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2D7837">
        <w:rPr>
          <w:lang w:eastAsia="cs-CZ"/>
        </w:rPr>
        <w:t xml:space="preserve"> (dále jen „</w:t>
      </w:r>
      <w:r w:rsidR="00516464" w:rsidRPr="002D7837">
        <w:rPr>
          <w:b/>
          <w:bCs/>
          <w:lang w:eastAsia="cs-CZ"/>
        </w:rPr>
        <w:t>ZOP</w:t>
      </w:r>
      <w:r w:rsidR="00516464" w:rsidRPr="002D7837">
        <w:rPr>
          <w:lang w:eastAsia="cs-CZ"/>
        </w:rPr>
        <w:t>“)</w:t>
      </w:r>
      <w:r w:rsidRPr="002D7837">
        <w:rPr>
          <w:lang w:eastAsia="cs-CZ"/>
        </w:rPr>
        <w:t>;</w:t>
      </w:r>
    </w:p>
    <w:p w14:paraId="7A3EDF35" w14:textId="4C6EFB77" w:rsidR="00516464" w:rsidRPr="002D7837" w:rsidRDefault="00516464" w:rsidP="00516464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 xml:space="preserve">Příloha č. </w:t>
      </w:r>
      <w:r w:rsidR="00490CFF">
        <w:rPr>
          <w:lang w:eastAsia="cs-CZ"/>
        </w:rPr>
        <w:t>5</w:t>
      </w:r>
      <w:r w:rsidR="00490CFF" w:rsidRPr="002D7837">
        <w:rPr>
          <w:lang w:eastAsia="cs-CZ"/>
        </w:rPr>
        <w:t xml:space="preserve"> </w:t>
      </w:r>
      <w:r w:rsidRPr="002D7837">
        <w:rPr>
          <w:lang w:eastAsia="cs-CZ"/>
        </w:rPr>
        <w:t xml:space="preserve">Smlouvy – </w:t>
      </w:r>
      <w:r w:rsidR="00E16004" w:rsidRPr="002D7837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2D7837">
        <w:rPr>
          <w:lang w:eastAsia="cs-CZ"/>
        </w:rPr>
        <w:t xml:space="preserve"> (dále jen „</w:t>
      </w:r>
      <w:r w:rsidRPr="002D7837">
        <w:rPr>
          <w:b/>
          <w:bCs/>
          <w:lang w:eastAsia="cs-CZ"/>
        </w:rPr>
        <w:t>OOP</w:t>
      </w:r>
      <w:r w:rsidRPr="002D7837">
        <w:rPr>
          <w:lang w:eastAsia="cs-CZ"/>
        </w:rPr>
        <w:t>“);</w:t>
      </w:r>
    </w:p>
    <w:p w14:paraId="3ADA7FD9" w14:textId="13424AF2" w:rsidR="0056516D" w:rsidRPr="004E2B32" w:rsidRDefault="00486228" w:rsidP="0056516D">
      <w:pPr>
        <w:pStyle w:val="Odstavecseseznamem"/>
        <w:numPr>
          <w:ilvl w:val="0"/>
          <w:numId w:val="29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lastRenderedPageBreak/>
        <w:t>Ostatní dokumenty zadávací dokumentace Veřejné zakázky</w:t>
      </w:r>
      <w:r w:rsidR="00577428" w:rsidRPr="002D7837">
        <w:rPr>
          <w:lang w:eastAsia="cs-CZ"/>
        </w:rPr>
        <w:t xml:space="preserve"> či zmiňované ve Smlouvě</w:t>
      </w:r>
      <w:r w:rsidRPr="002D7837">
        <w:rPr>
          <w:lang w:eastAsia="cs-CZ"/>
        </w:rPr>
        <w:t>.</w:t>
      </w:r>
    </w:p>
    <w:p w14:paraId="6C2798D9" w14:textId="2796D52D" w:rsidR="00BE5AD5" w:rsidRDefault="00BE5AD5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ze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>článek 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1B2DF05B" w:rsidR="005E4378" w:rsidRPr="00A60E75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476E08">
        <w:t xml:space="preserve">zajištění internetové konektivity a související ochrany sítě před </w:t>
      </w:r>
      <w:proofErr w:type="spellStart"/>
      <w:r w:rsidR="00476E08">
        <w:t>DDoS</w:t>
      </w:r>
      <w:proofErr w:type="spellEnd"/>
      <w:r w:rsidR="00476E08">
        <w:t xml:space="preserve"> </w:t>
      </w:r>
      <w:r w:rsidR="00476E08" w:rsidRPr="00A60E75">
        <w:t>útoky</w:t>
      </w:r>
      <w:r w:rsidR="00A60E75">
        <w:rPr>
          <w:rFonts w:eastAsia="Verdana" w:cs="Verdana"/>
          <w:color w:val="000000"/>
        </w:rPr>
        <w:t>.</w:t>
      </w:r>
      <w:r w:rsidR="00DE5E6D" w:rsidRPr="00A60E75">
        <w:rPr>
          <w:rFonts w:eastAsia="Verdana" w:cs="Verdana"/>
          <w:color w:val="000000"/>
        </w:rPr>
        <w:t xml:space="preserve">  </w:t>
      </w:r>
    </w:p>
    <w:p w14:paraId="27116DFF" w14:textId="4B820B73" w:rsidR="00D453E7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Souvisejících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56FE24E0" w:rsidR="00B52210" w:rsidRPr="00D453E7" w:rsidRDefault="00B52210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>Dílo Zhotovitelem provedeno a po dobu trvání 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D453E7" w:rsidRDefault="00B52210" w:rsidP="006602DB">
      <w:pPr>
        <w:pStyle w:val="Nadpis3"/>
        <w:contextualSpacing w:val="0"/>
        <w:rPr>
          <w:rFonts w:eastAsia="Verdana" w:cs="Verdana"/>
          <w:color w:val="000000"/>
        </w:rPr>
      </w:pPr>
      <w:r>
        <w:t>právních předpisů;</w:t>
      </w:r>
    </w:p>
    <w:p w14:paraId="576E6E08" w14:textId="77777777" w:rsidR="00B52210" w:rsidRPr="005D64B9" w:rsidRDefault="00B52210" w:rsidP="006602DB">
      <w:pPr>
        <w:pStyle w:val="Nadpis3"/>
        <w:contextualSpacing w:val="0"/>
        <w:rPr>
          <w:rFonts w:eastAsia="Verdana" w:cs="Verdana"/>
          <w:color w:val="000000"/>
        </w:rPr>
      </w:pPr>
      <w:r>
        <w:rPr>
          <w:rFonts w:ascii="Verdana" w:hAnsi="Verdana" w:cs="Arial"/>
        </w:rPr>
        <w:t xml:space="preserve">jiných </w:t>
      </w:r>
      <w:r w:rsidRPr="00C05A92">
        <w:rPr>
          <w:rFonts w:ascii="Verdana" w:hAnsi="Verdana" w:cs="Arial"/>
        </w:rPr>
        <w:t>nor</w:t>
      </w:r>
      <w:r>
        <w:rPr>
          <w:rFonts w:ascii="Verdana" w:hAnsi="Verdana" w:cs="Arial"/>
        </w:rPr>
        <w:t>em</w:t>
      </w:r>
      <w:r w:rsidRPr="00C05A92">
        <w:rPr>
          <w:rFonts w:ascii="Verdana" w:hAnsi="Verdana" w:cs="Arial"/>
        </w:rPr>
        <w:t xml:space="preserve"> obsahující</w:t>
      </w:r>
      <w:r>
        <w:rPr>
          <w:rFonts w:ascii="Verdana" w:hAnsi="Verdana" w:cs="Arial"/>
        </w:rPr>
        <w:t>ch</w:t>
      </w:r>
      <w:r w:rsidRPr="00C05A92">
        <w:rPr>
          <w:rFonts w:ascii="Verdana" w:hAnsi="Verdana" w:cs="Arial"/>
        </w:rPr>
        <w:t xml:space="preserve"> technické specifikace a řešení, technické a technologické postupy nebo jiná určující kritéria k</w:t>
      </w:r>
      <w:r>
        <w:rPr>
          <w:rFonts w:ascii="Verdana" w:hAnsi="Verdana" w:cs="Arial"/>
        </w:rPr>
        <w:t> </w:t>
      </w:r>
      <w:r w:rsidRPr="00C05A92">
        <w:rPr>
          <w:rFonts w:ascii="Verdana" w:hAnsi="Verdana" w:cs="Arial"/>
        </w:rPr>
        <w:t>zajištění</w:t>
      </w:r>
      <w:r>
        <w:rPr>
          <w:rFonts w:ascii="Verdana" w:hAnsi="Verdana" w:cs="Arial"/>
        </w:rPr>
        <w:t xml:space="preserve"> toho</w:t>
      </w:r>
      <w:r w:rsidRPr="00C05A92">
        <w:rPr>
          <w:rFonts w:ascii="Verdana" w:hAnsi="Verdana" w:cs="Arial"/>
        </w:rPr>
        <w:t>, že postupy</w:t>
      </w:r>
      <w:r>
        <w:rPr>
          <w:rFonts w:ascii="Verdana" w:hAnsi="Verdana" w:cs="Arial"/>
        </w:rPr>
        <w:t>, dodávky</w:t>
      </w:r>
      <w:r w:rsidRPr="00C05A92">
        <w:rPr>
          <w:rFonts w:ascii="Verdana" w:hAnsi="Verdana" w:cs="Arial"/>
        </w:rPr>
        <w:t xml:space="preserve"> a služby vyhovují Předmětu </w:t>
      </w:r>
      <w:r>
        <w:rPr>
          <w:rFonts w:ascii="Verdana" w:hAnsi="Verdana" w:cs="Arial"/>
        </w:rPr>
        <w:t>díla a Souvisejícím plněním (dále jen „</w:t>
      </w:r>
      <w:r w:rsidRPr="00250F19">
        <w:rPr>
          <w:rFonts w:ascii="Verdana" w:hAnsi="Verdana" w:cs="Arial"/>
          <w:b/>
          <w:bCs/>
        </w:rPr>
        <w:t>technická norma</w:t>
      </w:r>
      <w:r>
        <w:rPr>
          <w:rFonts w:ascii="Verdana" w:hAnsi="Verdana" w:cs="Arial"/>
        </w:rPr>
        <w:t>“);</w:t>
      </w:r>
    </w:p>
    <w:p w14:paraId="428003CB" w14:textId="77777777" w:rsidR="00B52210" w:rsidRPr="005D64B9" w:rsidRDefault="00B52210" w:rsidP="006602DB">
      <w:pPr>
        <w:pStyle w:val="Nadpis3"/>
        <w:contextualSpacing w:val="0"/>
        <w:rPr>
          <w:rFonts w:eastAsia="Verdana" w:cs="Verdana"/>
          <w:color w:val="000000"/>
        </w:rPr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EB13B7" w:rsidRDefault="00B52210" w:rsidP="006602DB">
      <w:pPr>
        <w:pStyle w:val="Nadpis3"/>
        <w:contextualSpacing w:val="0"/>
        <w:rPr>
          <w:rFonts w:eastAsia="Verdana" w:cs="Verdana"/>
          <w:color w:val="000000"/>
        </w:rPr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5D64B9" w:rsidRDefault="00B52210" w:rsidP="006602DB">
      <w:pPr>
        <w:pStyle w:val="Nadpis3"/>
        <w:contextualSpacing w:val="0"/>
        <w:rPr>
          <w:rFonts w:eastAsia="Verdana" w:cs="Verdana"/>
          <w:color w:val="000000"/>
        </w:rPr>
      </w:pPr>
      <w:r>
        <w:t>Nabídky a</w:t>
      </w:r>
      <w:r w:rsidRPr="00D453E7">
        <w:t xml:space="preserve"> </w:t>
      </w:r>
    </w:p>
    <w:p w14:paraId="0A6BE42C" w14:textId="2DD89EA6" w:rsidR="00B52210" w:rsidRPr="007B2B09" w:rsidRDefault="00B52210" w:rsidP="006602DB">
      <w:pPr>
        <w:pStyle w:val="Nadpis3"/>
        <w:contextualSpacing w:val="0"/>
        <w:rPr>
          <w:rFonts w:eastAsia="Verdana" w:cs="Verdana"/>
          <w:color w:val="000000"/>
        </w:rPr>
      </w:pPr>
      <w:r w:rsidRPr="000C06A5">
        <w:t>Interních předpisů SŽ</w:t>
      </w:r>
      <w:r w:rsidR="00E94621" w:rsidRPr="000C06A5">
        <w:t xml:space="preserve"> (</w:t>
      </w:r>
      <w:r w:rsidR="00E94621">
        <w:rPr>
          <w:rFonts w:ascii="Verdana" w:hAnsi="Verdana" w:cs="Arial"/>
        </w:rPr>
        <w:t>dále jen „</w:t>
      </w:r>
      <w:r w:rsidR="00E94621">
        <w:rPr>
          <w:rFonts w:ascii="Verdana" w:hAnsi="Verdana" w:cs="Arial"/>
          <w:b/>
          <w:bCs/>
        </w:rPr>
        <w:t>Interní předpisy</w:t>
      </w:r>
      <w:r w:rsidR="00E94621">
        <w:rPr>
          <w:rFonts w:ascii="Verdana" w:hAnsi="Verdana" w:cs="Arial"/>
        </w:rPr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7C7B9BCB" w14:textId="681D2CCC" w:rsidR="00B52210" w:rsidRPr="00B52210" w:rsidRDefault="00B52210" w:rsidP="00B52210">
      <w:pPr>
        <w:ind w:firstLine="567"/>
        <w:rPr>
          <w:lang w:eastAsia="cs-CZ"/>
        </w:rPr>
      </w:pPr>
      <w:r>
        <w:t>(dále jen „</w:t>
      </w:r>
      <w:r w:rsidRPr="00EB13B7">
        <w:rPr>
          <w:b/>
          <w:bCs/>
        </w:rPr>
        <w:t>Požadavky</w:t>
      </w:r>
      <w:r>
        <w:t>“).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r w:rsidRPr="00C05A92">
        <w:rPr>
          <w:rFonts w:ascii="Verdana" w:hAnsi="Verdana"/>
        </w:rPr>
        <w:t>Předmět Smlouvy</w:t>
      </w:r>
      <w:bookmarkEnd w:id="8"/>
    </w:p>
    <w:p w14:paraId="521AEF84" w14:textId="494B2A25" w:rsidR="00C53B7C" w:rsidRPr="000066EA" w:rsidRDefault="00C53B7C" w:rsidP="006602DB">
      <w:pPr>
        <w:pStyle w:val="Nadpis2"/>
        <w:spacing w:line="276" w:lineRule="auto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1336654F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 xml:space="preserve">Předmětem </w:t>
      </w:r>
      <w:r w:rsidR="00BF78B7" w:rsidRPr="004E2B32">
        <w:rPr>
          <w:b/>
          <w:bCs/>
        </w:rPr>
        <w:t>díla</w:t>
      </w:r>
      <w:r>
        <w:t xml:space="preserve"> je</w:t>
      </w:r>
      <w:r w:rsidR="00C61E58">
        <w:t xml:space="preserve"> poskytnutí vymezených činností za účelem</w:t>
      </w:r>
      <w:r>
        <w:t xml:space="preserve"> </w:t>
      </w:r>
      <w:r w:rsidR="00941A8D" w:rsidRPr="00941A8D">
        <w:t xml:space="preserve">zavedení a poskytování duální geografické internetové konektivity pro SŽ včetně ochrany proti </w:t>
      </w:r>
      <w:proofErr w:type="spellStart"/>
      <w:r w:rsidR="00941A8D" w:rsidRPr="00941A8D">
        <w:t>DDoS</w:t>
      </w:r>
      <w:proofErr w:type="spellEnd"/>
      <w:r w:rsidR="00941A8D" w:rsidRPr="00941A8D">
        <w:t xml:space="preserve"> útokům, a to po </w:t>
      </w:r>
      <w:r w:rsidR="00941A8D" w:rsidRPr="004D1253">
        <w:t xml:space="preserve">dobu </w:t>
      </w:r>
      <w:r w:rsidR="00941A8D" w:rsidRPr="00C24829">
        <w:t>60 měsíců</w:t>
      </w:r>
      <w:r w:rsidR="00941A8D" w:rsidRPr="004D1253">
        <w:t>,</w:t>
      </w:r>
      <w:r w:rsidR="000328D1">
        <w:t xml:space="preserve"> </w:t>
      </w:r>
      <w:r w:rsidR="00A60E75">
        <w:t>v určených místech</w:t>
      </w:r>
      <w:r w:rsidR="00FE242A">
        <w:t>.</w:t>
      </w:r>
      <w:r w:rsidR="00C61E58">
        <w:t xml:space="preserve"> </w:t>
      </w:r>
      <w:r w:rsidR="0050268C" w:rsidRPr="004205B1">
        <w:t>Bližší</w:t>
      </w:r>
      <w:r w:rsidR="003D4B38">
        <w:t xml:space="preserve"> požadavky na </w:t>
      </w:r>
      <w:r w:rsidR="002B62DD">
        <w:lastRenderedPageBreak/>
        <w:t xml:space="preserve">Předmět díla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FA112A">
        <w:t>3</w:t>
      </w:r>
      <w:r w:rsidR="003D4B38" w:rsidRPr="00891133">
        <w:t xml:space="preserve">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č. 1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28D94D16" w:rsidR="004E03EC" w:rsidRPr="00891133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FA112A">
        <w:rPr>
          <w:rFonts w:cs="Verdana"/>
          <w:color w:val="000000"/>
        </w:rPr>
        <w:t>3</w:t>
      </w:r>
      <w:r w:rsidR="0011025F" w:rsidRPr="00C24829">
        <w:rPr>
          <w:rFonts w:cs="Verdana"/>
          <w:color w:val="000000"/>
        </w:rPr>
        <w:t xml:space="preserve"> Přílohy č. 1</w:t>
      </w:r>
      <w:r w:rsidR="004E03EC" w:rsidRPr="00891133">
        <w:rPr>
          <w:rFonts w:cs="Verdana"/>
          <w:color w:val="000000"/>
        </w:rPr>
        <w:t>:</w:t>
      </w:r>
    </w:p>
    <w:p w14:paraId="095C54E0" w14:textId="44641813" w:rsidR="00BD2A0C" w:rsidRDefault="002938DC" w:rsidP="006602DB">
      <w:pPr>
        <w:pStyle w:val="Nadpis3"/>
        <w:contextualSpacing w:val="0"/>
        <w:rPr>
          <w:rFonts w:ascii="Verdana" w:hAnsi="Verdana" w:cs="Arial"/>
        </w:rPr>
      </w:pPr>
      <w:bookmarkStart w:id="18" w:name="_Toc121225445"/>
      <w:r>
        <w:t xml:space="preserve">Zavedení </w:t>
      </w:r>
      <w:r w:rsidR="00A541EB">
        <w:t xml:space="preserve">a zajištění </w:t>
      </w:r>
      <w:r>
        <w:t>internetové konektivity do dvou lokalit</w:t>
      </w:r>
      <w:bookmarkEnd w:id="18"/>
      <w:r>
        <w:t xml:space="preserve"> uvedených</w:t>
      </w:r>
      <w:r w:rsidR="002D25BC">
        <w:rPr>
          <w:rFonts w:ascii="Verdana" w:hAnsi="Verdana" w:cs="Arial"/>
        </w:rPr>
        <w:t xml:space="preserve"> </w:t>
      </w:r>
      <w:r w:rsidRPr="00891133">
        <w:rPr>
          <w:rFonts w:ascii="Verdana" w:hAnsi="Verdana" w:cs="Arial"/>
        </w:rPr>
        <w:t>v</w:t>
      </w:r>
      <w:r w:rsidR="002D25BC" w:rsidRPr="00891133">
        <w:rPr>
          <w:rFonts w:ascii="Verdana" w:hAnsi="Verdana" w:cs="Arial"/>
        </w:rPr>
        <w:t xml:space="preserve"> </w:t>
      </w:r>
      <w:r w:rsidR="002D25BC" w:rsidRPr="00C24829">
        <w:rPr>
          <w:rFonts w:ascii="Verdana" w:hAnsi="Verdana" w:cs="Arial"/>
        </w:rPr>
        <w:t xml:space="preserve">části </w:t>
      </w:r>
      <w:r w:rsidR="00FA112A">
        <w:rPr>
          <w:rFonts w:ascii="Verdana" w:hAnsi="Verdana" w:cs="Arial"/>
        </w:rPr>
        <w:t>3</w:t>
      </w:r>
      <w:r w:rsidR="002D25BC" w:rsidRPr="00C24829">
        <w:rPr>
          <w:rFonts w:ascii="Verdana" w:hAnsi="Verdana" w:cs="Arial"/>
        </w:rPr>
        <w:t>.1</w:t>
      </w:r>
      <w:r w:rsidR="002D25BC" w:rsidRPr="002938DC">
        <w:rPr>
          <w:rFonts w:ascii="Verdana" w:hAnsi="Verdana" w:cs="Arial"/>
        </w:rPr>
        <w:t xml:space="preserve"> </w:t>
      </w:r>
      <w:r w:rsidR="002D25BC">
        <w:rPr>
          <w:rFonts w:ascii="Verdana" w:hAnsi="Verdana" w:cs="Arial"/>
        </w:rPr>
        <w:t>Přílohy č. 1</w:t>
      </w:r>
      <w:r>
        <w:rPr>
          <w:rFonts w:ascii="Verdana" w:hAnsi="Verdana" w:cs="Arial"/>
        </w:rPr>
        <w:t xml:space="preserve">, a to v rozsahu a kvalitě uvedené </w:t>
      </w:r>
      <w:r w:rsidRPr="00891133">
        <w:t>uvedených</w:t>
      </w:r>
      <w:r w:rsidRPr="00891133">
        <w:rPr>
          <w:rFonts w:ascii="Verdana" w:hAnsi="Verdana" w:cs="Arial"/>
        </w:rPr>
        <w:t xml:space="preserve"> v </w:t>
      </w:r>
      <w:r w:rsidRPr="00C24829">
        <w:rPr>
          <w:rFonts w:ascii="Verdana" w:hAnsi="Verdana" w:cs="Arial"/>
        </w:rPr>
        <w:t xml:space="preserve">části </w:t>
      </w:r>
      <w:r w:rsidR="00FA112A">
        <w:rPr>
          <w:rFonts w:ascii="Verdana" w:hAnsi="Verdana" w:cs="Arial"/>
        </w:rPr>
        <w:t>3</w:t>
      </w:r>
      <w:r w:rsidRPr="00C24829">
        <w:rPr>
          <w:rFonts w:ascii="Verdana" w:hAnsi="Verdana" w:cs="Arial"/>
        </w:rPr>
        <w:t>.1</w:t>
      </w:r>
      <w:r w:rsidRPr="00891133">
        <w:rPr>
          <w:rFonts w:ascii="Verdana" w:hAnsi="Verdana" w:cs="Arial"/>
        </w:rPr>
        <w:t xml:space="preserve"> Přílohy</w:t>
      </w:r>
      <w:r>
        <w:rPr>
          <w:rFonts w:ascii="Verdana" w:hAnsi="Verdana" w:cs="Arial"/>
        </w:rPr>
        <w:t xml:space="preserve"> č. 1</w:t>
      </w:r>
      <w:r w:rsidR="002D25BC">
        <w:rPr>
          <w:rFonts w:ascii="Verdana" w:hAnsi="Verdana" w:cs="Arial"/>
        </w:rPr>
        <w:t xml:space="preserve"> (dále jen „</w:t>
      </w:r>
      <w:r w:rsidR="00A541EB" w:rsidRPr="00C24829">
        <w:rPr>
          <w:rFonts w:ascii="Verdana" w:hAnsi="Verdana" w:cs="Arial"/>
          <w:b/>
          <w:bCs/>
        </w:rPr>
        <w:t>I</w:t>
      </w:r>
      <w:r>
        <w:rPr>
          <w:rFonts w:ascii="Verdana" w:hAnsi="Verdana" w:cs="Arial"/>
          <w:b/>
          <w:bCs/>
        </w:rPr>
        <w:t>nternetov</w:t>
      </w:r>
      <w:r w:rsidR="00A541EB">
        <w:rPr>
          <w:rFonts w:ascii="Verdana" w:hAnsi="Verdana" w:cs="Arial"/>
          <w:b/>
          <w:bCs/>
        </w:rPr>
        <w:t>á</w:t>
      </w:r>
      <w:r>
        <w:rPr>
          <w:rFonts w:ascii="Verdana" w:hAnsi="Verdana" w:cs="Arial"/>
          <w:b/>
          <w:bCs/>
        </w:rPr>
        <w:t xml:space="preserve"> konektivit</w:t>
      </w:r>
      <w:r w:rsidR="00A541EB">
        <w:rPr>
          <w:rFonts w:ascii="Verdana" w:hAnsi="Verdana" w:cs="Arial"/>
          <w:b/>
          <w:bCs/>
        </w:rPr>
        <w:t>a</w:t>
      </w:r>
      <w:r w:rsidR="002D25BC">
        <w:rPr>
          <w:rFonts w:ascii="Verdana" w:hAnsi="Verdana" w:cs="Arial"/>
        </w:rPr>
        <w:t>“)</w:t>
      </w:r>
      <w:r w:rsidR="0050133A">
        <w:t>;</w:t>
      </w:r>
      <w:r w:rsidR="00BD2A0C" w:rsidRPr="000316DF">
        <w:rPr>
          <w:rFonts w:ascii="Verdana" w:hAnsi="Verdana" w:cs="Arial"/>
        </w:rPr>
        <w:t xml:space="preserve"> </w:t>
      </w:r>
    </w:p>
    <w:p w14:paraId="42455F54" w14:textId="4EFC6BF1" w:rsidR="00BD2A0C" w:rsidRDefault="002D25BC" w:rsidP="006602DB">
      <w:pPr>
        <w:pStyle w:val="Nadpis3"/>
        <w:contextualSpacing w:val="0"/>
        <w:rPr>
          <w:rFonts w:ascii="Verdana" w:hAnsi="Verdana" w:cs="Arial"/>
        </w:rPr>
      </w:pPr>
      <w:r>
        <w:rPr>
          <w:rFonts w:ascii="Verdana" w:hAnsi="Verdana" w:cs="Arial"/>
        </w:rPr>
        <w:t>Z</w:t>
      </w:r>
      <w:r w:rsidRPr="002D25BC">
        <w:rPr>
          <w:rFonts w:ascii="Verdana" w:hAnsi="Verdana" w:cs="Arial"/>
        </w:rPr>
        <w:t>ajišt</w:t>
      </w:r>
      <w:r>
        <w:rPr>
          <w:rFonts w:ascii="Verdana" w:hAnsi="Verdana" w:cs="Arial"/>
        </w:rPr>
        <w:t>ění</w:t>
      </w:r>
      <w:r w:rsidRPr="002D25BC">
        <w:rPr>
          <w:rFonts w:ascii="Verdana" w:hAnsi="Verdana" w:cs="Arial"/>
        </w:rPr>
        <w:t xml:space="preserve"> </w:t>
      </w:r>
      <w:bookmarkStart w:id="19" w:name="_Toc121225446"/>
      <w:r w:rsidR="00783BEE">
        <w:t xml:space="preserve">ochrany zavedené </w:t>
      </w:r>
      <w:r w:rsidR="00A541EB">
        <w:t>I</w:t>
      </w:r>
      <w:r w:rsidR="00783BEE">
        <w:t xml:space="preserve">nternetové konektivity proti </w:t>
      </w:r>
      <w:proofErr w:type="spellStart"/>
      <w:r w:rsidR="00783BEE">
        <w:t>DDoS</w:t>
      </w:r>
      <w:proofErr w:type="spellEnd"/>
      <w:r w:rsidR="00783BEE">
        <w:t xml:space="preserve"> útokům</w:t>
      </w:r>
      <w:bookmarkEnd w:id="19"/>
      <w:r w:rsidR="00783BEE">
        <w:t>, a to</w:t>
      </w:r>
      <w:r w:rsidR="0050133A" w:rsidRPr="002D25BC">
        <w:rPr>
          <w:rFonts w:ascii="Verdana" w:hAnsi="Verdana" w:cs="Arial"/>
        </w:rPr>
        <w:t xml:space="preserve"> </w:t>
      </w:r>
      <w:r w:rsidR="0050133A">
        <w:rPr>
          <w:rFonts w:ascii="Verdana" w:hAnsi="Verdana" w:cs="Arial"/>
        </w:rPr>
        <w:t>v</w:t>
      </w:r>
      <w:r w:rsidR="00783BEE">
        <w:rPr>
          <w:rFonts w:ascii="Verdana" w:hAnsi="Verdana" w:cs="Arial"/>
        </w:rPr>
        <w:t> </w:t>
      </w:r>
      <w:r w:rsidR="0050133A">
        <w:rPr>
          <w:rFonts w:ascii="Verdana" w:hAnsi="Verdana" w:cs="Arial"/>
        </w:rPr>
        <w:t>rozsahu</w:t>
      </w:r>
      <w:r w:rsidR="00783BEE">
        <w:rPr>
          <w:rFonts w:ascii="Verdana" w:hAnsi="Verdana" w:cs="Arial"/>
        </w:rPr>
        <w:t xml:space="preserve"> a kvalitě</w:t>
      </w:r>
      <w:r w:rsidR="0050133A">
        <w:rPr>
          <w:rFonts w:ascii="Verdana" w:hAnsi="Verdana" w:cs="Arial"/>
        </w:rPr>
        <w:t xml:space="preserve"> </w:t>
      </w:r>
      <w:r w:rsidR="0050133A" w:rsidRPr="00891133">
        <w:rPr>
          <w:rFonts w:ascii="Verdana" w:hAnsi="Verdana" w:cs="Arial"/>
        </w:rPr>
        <w:t xml:space="preserve">dle </w:t>
      </w:r>
      <w:r w:rsidR="0050133A" w:rsidRPr="00C24829">
        <w:rPr>
          <w:rFonts w:ascii="Verdana" w:hAnsi="Verdana" w:cs="Arial"/>
        </w:rPr>
        <w:t xml:space="preserve">části </w:t>
      </w:r>
      <w:r w:rsidR="00FA112A">
        <w:rPr>
          <w:rFonts w:ascii="Verdana" w:hAnsi="Verdana" w:cs="Arial"/>
        </w:rPr>
        <w:t>3</w:t>
      </w:r>
      <w:r w:rsidR="0050133A" w:rsidRPr="00FA112A">
        <w:rPr>
          <w:rFonts w:ascii="Verdana" w:hAnsi="Verdana" w:cs="Arial"/>
        </w:rPr>
        <w:t>.2 Přílohy č. 1</w:t>
      </w:r>
      <w:r w:rsidR="0050133A">
        <w:rPr>
          <w:rFonts w:ascii="Verdana" w:hAnsi="Verdana" w:cs="Arial"/>
        </w:rPr>
        <w:t xml:space="preserve"> (dále jen „</w:t>
      </w:r>
      <w:r w:rsidR="00783BEE" w:rsidRPr="00E66263">
        <w:rPr>
          <w:rFonts w:ascii="Verdana" w:hAnsi="Verdana" w:cs="Arial"/>
          <w:b/>
          <w:bCs/>
        </w:rPr>
        <w:t xml:space="preserve">Ochrana proti </w:t>
      </w:r>
      <w:proofErr w:type="spellStart"/>
      <w:r w:rsidR="00783BEE" w:rsidRPr="00E66263">
        <w:rPr>
          <w:rFonts w:ascii="Verdana" w:hAnsi="Verdana" w:cs="Arial"/>
          <w:b/>
          <w:bCs/>
        </w:rPr>
        <w:t>DDoS</w:t>
      </w:r>
      <w:proofErr w:type="spellEnd"/>
      <w:r w:rsidR="00783BEE" w:rsidRPr="00E66263">
        <w:rPr>
          <w:rFonts w:ascii="Verdana" w:hAnsi="Verdana" w:cs="Arial"/>
          <w:b/>
          <w:bCs/>
        </w:rPr>
        <w:t xml:space="preserve"> útokům</w:t>
      </w:r>
      <w:r w:rsidR="0050133A">
        <w:rPr>
          <w:rFonts w:ascii="Verdana" w:hAnsi="Verdana" w:cs="Arial"/>
        </w:rPr>
        <w:t>“);</w:t>
      </w:r>
      <w:r w:rsidRPr="002D25BC">
        <w:rPr>
          <w:rFonts w:ascii="Verdana" w:hAnsi="Verdana" w:cs="Arial"/>
        </w:rPr>
        <w:t xml:space="preserve"> </w:t>
      </w:r>
    </w:p>
    <w:p w14:paraId="3739B6E1" w14:textId="44C5CAA0" w:rsidR="00BD2A0C" w:rsidRDefault="00563A18" w:rsidP="006602DB">
      <w:pPr>
        <w:pStyle w:val="Nadpis3"/>
        <w:contextualSpacing w:val="0"/>
        <w:rPr>
          <w:rFonts w:ascii="Verdana" w:hAnsi="Verdana" w:cs="Arial"/>
        </w:rPr>
      </w:pPr>
      <w:bookmarkStart w:id="20" w:name="_Toc121225447"/>
      <w:r>
        <w:t>Předání dokumentace obsahující minimálně všechny konfigurační parametry</w:t>
      </w:r>
      <w:bookmarkEnd w:id="20"/>
      <w:r>
        <w:rPr>
          <w:rFonts w:ascii="Verdana" w:hAnsi="Verdana" w:cs="Arial"/>
        </w:rPr>
        <w:t xml:space="preserve"> uvedené</w:t>
      </w:r>
      <w:r w:rsidR="00804224">
        <w:rPr>
          <w:rFonts w:ascii="Verdana" w:hAnsi="Verdana" w:cs="Arial"/>
        </w:rPr>
        <w:t xml:space="preserve"> </w:t>
      </w:r>
      <w:r w:rsidRPr="00891133">
        <w:rPr>
          <w:rFonts w:ascii="Verdana" w:hAnsi="Verdana" w:cs="Arial"/>
        </w:rPr>
        <w:t>v</w:t>
      </w:r>
      <w:r w:rsidR="00804224" w:rsidRPr="00891133">
        <w:rPr>
          <w:rFonts w:ascii="Verdana" w:hAnsi="Verdana" w:cs="Arial"/>
        </w:rPr>
        <w:t xml:space="preserve"> </w:t>
      </w:r>
      <w:r w:rsidR="00804224" w:rsidRPr="00FA112A">
        <w:rPr>
          <w:rFonts w:ascii="Verdana" w:hAnsi="Verdana" w:cs="Arial"/>
        </w:rPr>
        <w:t xml:space="preserve">části </w:t>
      </w:r>
      <w:r w:rsidR="00FA112A">
        <w:rPr>
          <w:rFonts w:ascii="Verdana" w:hAnsi="Verdana" w:cs="Arial"/>
        </w:rPr>
        <w:t>3</w:t>
      </w:r>
      <w:r w:rsidR="00804224" w:rsidRPr="00FA112A">
        <w:rPr>
          <w:rFonts w:ascii="Verdana" w:hAnsi="Verdana" w:cs="Arial"/>
        </w:rPr>
        <w:t>.</w:t>
      </w:r>
      <w:r w:rsidR="008F26B8" w:rsidRPr="00FA112A">
        <w:rPr>
          <w:rFonts w:ascii="Verdana" w:hAnsi="Verdana" w:cs="Arial"/>
        </w:rPr>
        <w:t>3</w:t>
      </w:r>
      <w:r w:rsidR="00804224" w:rsidRPr="00FA112A">
        <w:rPr>
          <w:rFonts w:ascii="Verdana" w:hAnsi="Verdana" w:cs="Arial"/>
        </w:rPr>
        <w:t xml:space="preserve"> Přílohy</w:t>
      </w:r>
      <w:r w:rsidR="00804224">
        <w:rPr>
          <w:rFonts w:ascii="Verdana" w:hAnsi="Verdana" w:cs="Arial"/>
        </w:rPr>
        <w:t xml:space="preserve"> č. 1</w:t>
      </w:r>
      <w:r>
        <w:rPr>
          <w:rFonts w:ascii="Verdana" w:hAnsi="Verdana" w:cs="Arial"/>
        </w:rPr>
        <w:t xml:space="preserve"> nebo parametry či jiné údaje, které si ve vztahu k Předmětu díla Objednatel vyžádá</w:t>
      </w:r>
      <w:r w:rsidR="00804224">
        <w:rPr>
          <w:rFonts w:ascii="Verdana" w:hAnsi="Verdana" w:cs="Arial"/>
        </w:rPr>
        <w:t xml:space="preserve"> (dále jen „</w:t>
      </w:r>
      <w:r>
        <w:rPr>
          <w:rFonts w:ascii="Verdana" w:hAnsi="Verdana" w:cs="Arial"/>
          <w:b/>
          <w:bCs/>
        </w:rPr>
        <w:t>Dokumentace</w:t>
      </w:r>
      <w:r w:rsidR="00804224">
        <w:rPr>
          <w:rFonts w:ascii="Verdana" w:hAnsi="Verdana" w:cs="Arial"/>
        </w:rPr>
        <w:t>“);</w:t>
      </w:r>
    </w:p>
    <w:p w14:paraId="16CEF1DB" w14:textId="1C275BB9" w:rsidR="00C26D77" w:rsidRDefault="00C26D77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Pro účely ZOP se za Software považuje také Internetová konektivita a </w:t>
      </w:r>
      <w:r w:rsidRPr="00C26D77">
        <w:rPr>
          <w:rFonts w:ascii="Verdana" w:hAnsi="Verdana" w:cs="Arial"/>
        </w:rPr>
        <w:t xml:space="preserve">Ochrana proti </w:t>
      </w:r>
      <w:proofErr w:type="spellStart"/>
      <w:r w:rsidRPr="00C26D77">
        <w:rPr>
          <w:rFonts w:ascii="Verdana" w:hAnsi="Verdana" w:cs="Arial"/>
        </w:rPr>
        <w:t>DDoS</w:t>
      </w:r>
      <w:proofErr w:type="spellEnd"/>
      <w:r w:rsidRPr="00C26D77">
        <w:rPr>
          <w:rFonts w:ascii="Verdana" w:hAnsi="Verdana" w:cs="Arial"/>
        </w:rPr>
        <w:t xml:space="preserve"> útokům</w:t>
      </w:r>
      <w:r w:rsidR="00FA112A">
        <w:rPr>
          <w:rFonts w:ascii="Verdana" w:hAnsi="Verdana" w:cs="Arial"/>
        </w:rPr>
        <w:t>.</w:t>
      </w:r>
    </w:p>
    <w:p w14:paraId="6008E6ED" w14:textId="6A429159" w:rsidR="00060FF8" w:rsidRPr="00060FF8" w:rsidRDefault="00F2383C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21" w:name="_Hlk7189780"/>
      <w:bookmarkStart w:id="22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21"/>
      <w:bookmarkEnd w:id="22"/>
    </w:p>
    <w:p w14:paraId="59319226" w14:textId="59A1BB8F" w:rsidR="00B932EA" w:rsidRDefault="00B932EA" w:rsidP="003D7F77">
      <w:pPr>
        <w:pStyle w:val="Nadpis2"/>
        <w:spacing w:line="276" w:lineRule="auto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či </w:t>
      </w:r>
      <w:r w:rsidR="00D81BCA" w:rsidRPr="4D589A9E">
        <w:rPr>
          <w:rFonts w:ascii="Verdana" w:hAnsi="Verdana" w:cs="Arial"/>
        </w:rPr>
        <w:t xml:space="preserve">technická </w:t>
      </w:r>
      <w:r w:rsidR="003D7F77" w:rsidRPr="4D589A9E">
        <w:rPr>
          <w:rFonts w:ascii="Verdana" w:hAnsi="Verdana" w:cs="Arial"/>
        </w:rPr>
        <w:t>norma</w:t>
      </w:r>
      <w:r w:rsidR="00D81BCA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>nahrazen</w:t>
      </w:r>
      <w:r w:rsidR="003F7DE6" w:rsidRPr="4D589A9E">
        <w:rPr>
          <w:rFonts w:ascii="Verdana" w:hAnsi="Verdana" w:cs="Arial"/>
        </w:rPr>
        <w:t>a</w:t>
      </w:r>
      <w:r w:rsidRPr="4D589A9E">
        <w:rPr>
          <w:rFonts w:ascii="Verdana" w:hAnsi="Verdana" w:cs="Arial"/>
        </w:rPr>
        <w:t xml:space="preserve"> jiným právním předpisem</w:t>
      </w:r>
      <w:r w:rsidR="00894CB0" w:rsidRPr="4D589A9E">
        <w:rPr>
          <w:rFonts w:ascii="Verdana" w:hAnsi="Verdana" w:cs="Arial"/>
        </w:rPr>
        <w:t xml:space="preserve"> či </w:t>
      </w:r>
      <w:r w:rsidR="00D81BCA" w:rsidRPr="4D589A9E">
        <w:rPr>
          <w:rFonts w:ascii="Verdana" w:hAnsi="Verdana" w:cs="Arial"/>
        </w:rPr>
        <w:t xml:space="preserve">technickou </w:t>
      </w:r>
      <w:r w:rsidR="00894CB0" w:rsidRPr="4D589A9E">
        <w:rPr>
          <w:rFonts w:ascii="Verdana" w:hAnsi="Verdana" w:cs="Arial"/>
        </w:rPr>
        <w:t>normou</w:t>
      </w:r>
      <w:r w:rsidRPr="4D589A9E">
        <w:rPr>
          <w:rFonts w:ascii="Verdana" w:hAnsi="Verdana" w:cs="Arial"/>
        </w:rPr>
        <w:t xml:space="preserve">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>, aby Dílo bylo uvedeno do souladu s tímto novým právním předpisem či technickou normou</w:t>
      </w:r>
      <w:r w:rsidR="009A41F9">
        <w:rPr>
          <w:rFonts w:ascii="Verdana" w:hAnsi="Verdana" w:cs="Arial"/>
        </w:rPr>
        <w:t xml:space="preserve"> 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či technických norem a Zhotovitel byl s novým zněním Interních předpisů seznámen.</w:t>
      </w:r>
      <w:r w:rsidR="007837B1">
        <w:rPr>
          <w:rFonts w:ascii="Verdana" w:hAnsi="Verdana" w:cs="Arial"/>
        </w:rPr>
        <w:t xml:space="preserve"> 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38B692AF" w:rsidR="00950418" w:rsidRDefault="007B0196" w:rsidP="007B0196">
      <w:pPr>
        <w:pStyle w:val="Nadpis2"/>
        <w:spacing w:line="276" w:lineRule="auto"/>
        <w:rPr>
          <w:rFonts w:ascii="Verdana" w:hAnsi="Verdana"/>
        </w:rPr>
      </w:pPr>
      <w:bookmarkStart w:id="23" w:name="_Ref384627695"/>
      <w:bookmarkStart w:id="24" w:name="_Ref390688855"/>
      <w:bookmarkStart w:id="25" w:name="_Ref440446785"/>
      <w:bookmarkStart w:id="26" w:name="_Ref426447567"/>
      <w:bookmarkStart w:id="27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762810">
        <w:rPr>
          <w:rFonts w:ascii="Verdana" w:hAnsi="Verdana"/>
        </w:rPr>
        <w:t>jsou především lokality uvedené v </w:t>
      </w:r>
      <w:r w:rsidR="00762810" w:rsidRPr="00C24829">
        <w:rPr>
          <w:rFonts w:ascii="Verdana" w:hAnsi="Verdana"/>
        </w:rPr>
        <w:t xml:space="preserve">části </w:t>
      </w:r>
      <w:r w:rsidR="00FA112A" w:rsidRPr="00FA112A">
        <w:rPr>
          <w:rFonts w:ascii="Verdana" w:hAnsi="Verdana"/>
        </w:rPr>
        <w:t>3</w:t>
      </w:r>
      <w:r w:rsidR="00762810" w:rsidRPr="00FA112A">
        <w:rPr>
          <w:rFonts w:ascii="Verdana" w:hAnsi="Verdana"/>
        </w:rPr>
        <w:t>.1 Přílohy č. 1</w:t>
      </w:r>
      <w:r w:rsidR="006069ED">
        <w:rPr>
          <w:rFonts w:ascii="Verdana" w:hAnsi="Verdana"/>
        </w:rPr>
        <w:t xml:space="preserve"> nebo jakákoliv jiná místa</w:t>
      </w:r>
      <w:r>
        <w:rPr>
          <w:rFonts w:ascii="Verdana" w:hAnsi="Verdana"/>
        </w:rPr>
        <w:t xml:space="preserve">, pokud je to potřebné či vhodné za účelem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7B0196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3"/>
    <w:bookmarkEnd w:id="24"/>
    <w:bookmarkEnd w:id="25"/>
    <w:bookmarkEnd w:id="26"/>
    <w:p w14:paraId="44006AC3" w14:textId="0E99E656" w:rsidR="00F10F98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</w:t>
      </w:r>
      <w:r w:rsidRPr="00484395">
        <w:rPr>
          <w:rFonts w:ascii="Verdana" w:hAnsi="Verdana"/>
        </w:rPr>
        <w:t xml:space="preserve">činí </w:t>
      </w:r>
      <w:r w:rsidR="00F10F98">
        <w:rPr>
          <w:rFonts w:ascii="Verdana" w:hAnsi="Verdana"/>
        </w:rPr>
        <w:t>60 měsíců</w:t>
      </w:r>
      <w:r w:rsidRPr="00484395">
        <w:rPr>
          <w:rFonts w:ascii="Verdana" w:hAnsi="Verdana"/>
        </w:rPr>
        <w:t xml:space="preserve"> </w:t>
      </w:r>
      <w:r w:rsidR="00C970A5">
        <w:rPr>
          <w:rFonts w:ascii="Verdana" w:hAnsi="Verdana"/>
        </w:rPr>
        <w:t>(dále jen „</w:t>
      </w:r>
      <w:r w:rsidR="00C970A5" w:rsidRPr="00E16B0F">
        <w:rPr>
          <w:rFonts w:ascii="Verdana" w:hAnsi="Verdana"/>
          <w:b/>
          <w:bCs/>
        </w:rPr>
        <w:t>doba trvání Smlouvy</w:t>
      </w:r>
      <w:r w:rsidR="00C970A5">
        <w:rPr>
          <w:rFonts w:ascii="Verdana" w:hAnsi="Verdana"/>
        </w:rPr>
        <w:t xml:space="preserve">“) </w:t>
      </w:r>
      <w:r w:rsidRPr="00F10F98">
        <w:rPr>
          <w:rFonts w:ascii="Verdana" w:hAnsi="Verdana"/>
        </w:rPr>
        <w:t xml:space="preserve">ode </w:t>
      </w:r>
      <w:r w:rsidR="00F10F98">
        <w:rPr>
          <w:rFonts w:ascii="Verdana" w:hAnsi="Verdana"/>
        </w:rPr>
        <w:t xml:space="preserve">dne zavedení </w:t>
      </w:r>
      <w:r w:rsidR="00BF0B80">
        <w:rPr>
          <w:rFonts w:ascii="Verdana" w:hAnsi="Verdana"/>
        </w:rPr>
        <w:t xml:space="preserve">Internetové </w:t>
      </w:r>
      <w:r w:rsidR="00F10F98">
        <w:rPr>
          <w:rFonts w:ascii="Verdana" w:hAnsi="Verdana"/>
        </w:rPr>
        <w:t>konektivity</w:t>
      </w:r>
      <w:r w:rsidR="00E16B0F" w:rsidRPr="00F10F98">
        <w:rPr>
          <w:rFonts w:ascii="Verdana" w:hAnsi="Verdana"/>
        </w:rPr>
        <w:t xml:space="preserve"> </w:t>
      </w:r>
      <w:r w:rsidR="00E16B0F">
        <w:rPr>
          <w:rFonts w:ascii="Verdana" w:hAnsi="Verdana"/>
        </w:rPr>
        <w:t xml:space="preserve">(dále jen </w:t>
      </w:r>
      <w:r w:rsidR="00F10F98">
        <w:rPr>
          <w:rFonts w:ascii="Verdana" w:hAnsi="Verdana"/>
        </w:rPr>
        <w:t>„</w:t>
      </w:r>
      <w:r w:rsidR="00F10F98" w:rsidRPr="00F10F98">
        <w:rPr>
          <w:rFonts w:ascii="Verdana" w:hAnsi="Verdana"/>
          <w:b/>
          <w:bCs/>
        </w:rPr>
        <w:t>Den zavedení konektivity</w:t>
      </w:r>
      <w:r w:rsidR="00F10F98">
        <w:rPr>
          <w:rFonts w:ascii="Verdana" w:hAnsi="Verdana"/>
        </w:rPr>
        <w:t>“</w:t>
      </w:r>
      <w:r w:rsidR="00C970A5">
        <w:rPr>
          <w:rFonts w:ascii="Verdana" w:hAnsi="Verdana"/>
        </w:rPr>
        <w:t>).</w:t>
      </w:r>
    </w:p>
    <w:p w14:paraId="1468A5A8" w14:textId="36A3C66F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037413C7" w14:textId="2001C2F6" w:rsidR="007B0196" w:rsidRPr="006F00F9" w:rsidRDefault="00F10F98" w:rsidP="007B0196">
      <w:pPr>
        <w:pStyle w:val="Nadpis2"/>
        <w:spacing w:line="276" w:lineRule="auto"/>
        <w:rPr>
          <w:rFonts w:ascii="Verdana" w:hAnsi="Verdana"/>
        </w:rPr>
      </w:pPr>
      <w:r w:rsidRPr="00C24829">
        <w:rPr>
          <w:rFonts w:ascii="Verdana" w:hAnsi="Verdana"/>
        </w:rPr>
        <w:t xml:space="preserve">Za Den zavedení konektivity se považuje den uvedený v oznámení Zhotovitele o </w:t>
      </w:r>
      <w:r w:rsidR="00BF0B80" w:rsidRPr="00C24829">
        <w:rPr>
          <w:rFonts w:ascii="Verdana" w:hAnsi="Verdana"/>
        </w:rPr>
        <w:t>z</w:t>
      </w:r>
      <w:r w:rsidRPr="00C24829">
        <w:rPr>
          <w:rFonts w:ascii="Verdana" w:hAnsi="Verdana"/>
        </w:rPr>
        <w:t xml:space="preserve">avedení </w:t>
      </w:r>
      <w:r w:rsidR="00BF0B80" w:rsidRPr="00C24829">
        <w:rPr>
          <w:rFonts w:ascii="Verdana" w:hAnsi="Verdana"/>
        </w:rPr>
        <w:t>I</w:t>
      </w:r>
      <w:r w:rsidRPr="00C24829">
        <w:rPr>
          <w:rFonts w:ascii="Verdana" w:hAnsi="Verdana"/>
        </w:rPr>
        <w:t>nternetové konektivity ve všech lokalitách, nebo 31. den od doručení výzvy Objednatele k </w:t>
      </w:r>
      <w:r w:rsidR="00BF0B80" w:rsidRPr="00C24829">
        <w:rPr>
          <w:rFonts w:ascii="Verdana" w:hAnsi="Verdana"/>
        </w:rPr>
        <w:t>z</w:t>
      </w:r>
      <w:r w:rsidRPr="00C24829">
        <w:rPr>
          <w:rFonts w:ascii="Verdana" w:hAnsi="Verdana"/>
        </w:rPr>
        <w:t xml:space="preserve">avedení </w:t>
      </w:r>
      <w:r w:rsidR="00BF0B80" w:rsidRPr="00C24829">
        <w:rPr>
          <w:rFonts w:ascii="Verdana" w:hAnsi="Verdana"/>
        </w:rPr>
        <w:t>I</w:t>
      </w:r>
      <w:r w:rsidRPr="00C24829">
        <w:rPr>
          <w:rFonts w:ascii="Verdana" w:hAnsi="Verdana"/>
        </w:rPr>
        <w:t>nternetové konektivity</w:t>
      </w:r>
      <w:r w:rsidR="007B0196" w:rsidRPr="00C24829">
        <w:rPr>
          <w:rFonts w:ascii="Verdana" w:hAnsi="Verdana"/>
        </w:rPr>
        <w:t>.</w:t>
      </w:r>
      <w:bookmarkEnd w:id="27"/>
      <w:r w:rsidRPr="00C24829">
        <w:rPr>
          <w:rFonts w:ascii="Verdana" w:hAnsi="Verdana"/>
        </w:rPr>
        <w:t xml:space="preserve"> Předpokládané období učinění výzvy k </w:t>
      </w:r>
      <w:r w:rsidR="00BF0B80" w:rsidRPr="00C24829">
        <w:rPr>
          <w:rFonts w:ascii="Verdana" w:hAnsi="Verdana"/>
        </w:rPr>
        <w:t>z</w:t>
      </w:r>
      <w:r w:rsidRPr="00C24829">
        <w:rPr>
          <w:rFonts w:ascii="Verdana" w:hAnsi="Verdana"/>
        </w:rPr>
        <w:t xml:space="preserve">avedení </w:t>
      </w:r>
      <w:r w:rsidR="00BF0B80" w:rsidRPr="00C24829">
        <w:rPr>
          <w:rFonts w:ascii="Verdana" w:hAnsi="Verdana"/>
        </w:rPr>
        <w:t>I</w:t>
      </w:r>
      <w:r w:rsidRPr="00C24829">
        <w:rPr>
          <w:rFonts w:ascii="Verdana" w:hAnsi="Verdana"/>
        </w:rPr>
        <w:t>nternetové konektivity</w:t>
      </w:r>
      <w:r w:rsidR="007B0196" w:rsidRPr="00C24829">
        <w:rPr>
          <w:rFonts w:ascii="Verdana" w:hAnsi="Verdana"/>
        </w:rPr>
        <w:t xml:space="preserve"> </w:t>
      </w:r>
      <w:r w:rsidRPr="00C24829">
        <w:rPr>
          <w:rFonts w:ascii="Verdana" w:hAnsi="Verdana"/>
        </w:rPr>
        <w:t>je Q4/2023</w:t>
      </w:r>
      <w:r w:rsidRPr="006F00F9">
        <w:rPr>
          <w:rFonts w:ascii="Verdana" w:hAnsi="Verdana"/>
        </w:rPr>
        <w:t>.</w:t>
      </w:r>
    </w:p>
    <w:p w14:paraId="600D21AE" w14:textId="24F89005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>Cena díla</w:t>
      </w:r>
    </w:p>
    <w:p w14:paraId="48CEBAB5" w14:textId="1A1BCF7C" w:rsidR="007D63C7" w:rsidRPr="00C970A5" w:rsidRDefault="007D63C7" w:rsidP="00D004A7">
      <w:pPr>
        <w:pStyle w:val="Nadpis2"/>
        <w:spacing w:line="276" w:lineRule="auto"/>
        <w:rPr>
          <w:rFonts w:ascii="Verdana" w:hAnsi="Verdana"/>
        </w:rPr>
      </w:pPr>
      <w:bookmarkStart w:id="28" w:name="_Ref440292404"/>
      <w:bookmarkStart w:id="29" w:name="_Toc425139148"/>
      <w:bookmarkStart w:id="30" w:name="_Ref399158092"/>
      <w:bookmarkStart w:id="31" w:name="_Toc401946227"/>
      <w:bookmarkStart w:id="32" w:name="_Toc414378763"/>
      <w:bookmarkStart w:id="33" w:name="_Ref317258282"/>
      <w:bookmarkStart w:id="34" w:name="_Toc415476420"/>
      <w:bookmarkStart w:id="35" w:name="_Ref415586774"/>
      <w:bookmarkStart w:id="36" w:name="_Toc416528603"/>
      <w:bookmarkStart w:id="37" w:name="_Toc419445119"/>
      <w:bookmarkStart w:id="38" w:name="_Toc419465141"/>
      <w:r>
        <w:lastRenderedPageBreak/>
        <w:t xml:space="preserve">Celková cena za </w:t>
      </w:r>
      <w:r w:rsidR="00461646">
        <w:t xml:space="preserve">splnění závazku Zhotovitele </w:t>
      </w:r>
      <w:r w:rsidR="00C25E46">
        <w:t>provést</w:t>
      </w:r>
      <w:r w:rsidR="00461646">
        <w:t xml:space="preserve"> </w:t>
      </w:r>
      <w:r>
        <w:t>Díl</w:t>
      </w:r>
      <w:r w:rsidR="00461646">
        <w:t>o v rozsahu dle Smlouvy</w:t>
      </w:r>
      <w:r>
        <w:t>,</w:t>
      </w:r>
      <w:r w:rsidR="0039258A">
        <w:t xml:space="preserve"> tj. Cena díla,</w:t>
      </w:r>
      <w:r>
        <w:t xml:space="preserve"> </w:t>
      </w:r>
      <w:bookmarkStart w:id="39" w:name="_Toc425139152"/>
      <w:bookmarkStart w:id="40" w:name="_Toc440525969"/>
      <w:bookmarkEnd w:id="28"/>
      <w:bookmarkEnd w:id="29"/>
      <w:bookmarkEnd w:id="30"/>
      <w:bookmarkEnd w:id="31"/>
      <w:bookmarkEnd w:id="32"/>
      <w:r w:rsidR="00461646">
        <w:t>je uvedena</w:t>
      </w:r>
      <w:r w:rsidR="00F15E00">
        <w:t xml:space="preserve"> pod položkou </w:t>
      </w:r>
      <w:r w:rsidR="00044C0B">
        <w:t>Nabídková cena celkem</w:t>
      </w:r>
      <w:r w:rsidR="00461646">
        <w:t xml:space="preserve"> </w:t>
      </w:r>
      <w:r>
        <w:t>v </w:t>
      </w:r>
      <w:r w:rsidR="00C90BB4">
        <w:t>p</w:t>
      </w:r>
      <w:r>
        <w:t xml:space="preserve">říloze č. </w:t>
      </w:r>
      <w:r w:rsidR="00642062">
        <w:t>2</w:t>
      </w:r>
      <w:r w:rsidR="00C90BB4">
        <w:t xml:space="preserve"> Smlouvy</w:t>
      </w:r>
      <w:r w:rsidR="000C35AE" w:rsidRPr="2E31C0C9">
        <w:rPr>
          <w:rFonts w:ascii="Verdana" w:hAnsi="Verdana"/>
        </w:rPr>
        <w:t xml:space="preserve"> (dále jen „</w:t>
      </w:r>
      <w:r w:rsidR="000C35AE" w:rsidRPr="2E31C0C9">
        <w:rPr>
          <w:rFonts w:ascii="Verdana" w:hAnsi="Verdana"/>
          <w:b/>
          <w:bCs/>
        </w:rPr>
        <w:t>Příloha č. 2</w:t>
      </w:r>
      <w:r w:rsidR="000C35AE" w:rsidRPr="2E31C0C9">
        <w:rPr>
          <w:rFonts w:ascii="Verdana" w:hAnsi="Verdana"/>
        </w:rPr>
        <w:t>“)</w:t>
      </w:r>
      <w:r w:rsidRPr="2E31C0C9">
        <w:rPr>
          <w:rFonts w:ascii="Verdana" w:hAnsi="Verdana"/>
        </w:rPr>
        <w:t>.</w:t>
      </w:r>
      <w:bookmarkEnd w:id="39"/>
      <w:bookmarkEnd w:id="40"/>
    </w:p>
    <w:bookmarkEnd w:id="33"/>
    <w:bookmarkEnd w:id="34"/>
    <w:bookmarkEnd w:id="35"/>
    <w:bookmarkEnd w:id="36"/>
    <w:bookmarkEnd w:id="37"/>
    <w:bookmarkEnd w:id="38"/>
    <w:p w14:paraId="3DDD84DA" w14:textId="19F9FEBE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>Ceny</w:t>
      </w:r>
      <w:r w:rsidR="00616514">
        <w:rPr>
          <w:rFonts w:ascii="Verdana" w:hAnsi="Verdana"/>
        </w:rPr>
        <w:t>, a to jak jednotkové ceny</w:t>
      </w:r>
      <w:r w:rsidR="00955A45">
        <w:rPr>
          <w:rFonts w:ascii="Verdana" w:hAnsi="Verdana"/>
        </w:rPr>
        <w:t>,</w:t>
      </w:r>
      <w:r w:rsidR="00616514">
        <w:rPr>
          <w:rFonts w:ascii="Verdana" w:hAnsi="Verdana"/>
        </w:rPr>
        <w:t xml:space="preserve"> tak nabídková cena celkem, </w:t>
      </w:r>
      <w:r w:rsidR="00022FC2" w:rsidRPr="00090FE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8A531F">
        <w:t>. Nabídková cena,</w:t>
      </w:r>
      <w:r w:rsidRPr="00CC6061">
        <w:rPr>
          <w:rFonts w:ascii="Verdana" w:hAnsi="Verdana"/>
        </w:rPr>
        <w:t xml:space="preserve"> 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05A92">
        <w:rPr>
          <w:rFonts w:ascii="Verdana" w:hAnsi="Verdana"/>
        </w:rPr>
        <w:t xml:space="preserve">). </w:t>
      </w:r>
    </w:p>
    <w:p w14:paraId="54209354" w14:textId="56488D45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78349BF2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41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41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7711B7E7" w14:textId="257719BB" w:rsidR="009D0202" w:rsidRPr="005E5BE9" w:rsidRDefault="0024079F" w:rsidP="007B2AB5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Zhotovitel je oprávněn doručit Objednateli Výzvu k úhradě, a to </w:t>
      </w:r>
      <w:r w:rsidR="00D4707D">
        <w:rPr>
          <w:rFonts w:ascii="Verdana" w:hAnsi="Verdana"/>
        </w:rPr>
        <w:t>opakovaně po dobu trvání Smlouvy po uplynutí každ</w:t>
      </w:r>
      <w:r w:rsidR="00F8068C">
        <w:rPr>
          <w:rFonts w:ascii="Verdana" w:hAnsi="Verdana"/>
        </w:rPr>
        <w:t xml:space="preserve">ého měsíce </w:t>
      </w:r>
      <w:r w:rsidR="00B1070B">
        <w:rPr>
          <w:rFonts w:ascii="Verdana" w:hAnsi="Verdana"/>
        </w:rPr>
        <w:t xml:space="preserve">ode </w:t>
      </w:r>
      <w:r w:rsidR="00F8068C">
        <w:rPr>
          <w:rFonts w:ascii="Verdana" w:hAnsi="Verdana"/>
        </w:rPr>
        <w:t>D</w:t>
      </w:r>
      <w:r w:rsidR="00B1070B">
        <w:rPr>
          <w:rFonts w:ascii="Verdana" w:hAnsi="Verdana"/>
        </w:rPr>
        <w:t xml:space="preserve">ne </w:t>
      </w:r>
      <w:r w:rsidR="00F8068C">
        <w:rPr>
          <w:rFonts w:ascii="Verdana" w:hAnsi="Verdana"/>
        </w:rPr>
        <w:t>zavedení konektivity</w:t>
      </w:r>
      <w:r w:rsidR="005E5BE9">
        <w:rPr>
          <w:rFonts w:ascii="Verdana" w:hAnsi="Verdana"/>
        </w:rPr>
        <w:t xml:space="preserve"> a trvání Internetové konektivity</w:t>
      </w:r>
      <w:r w:rsidR="00B1070B">
        <w:rPr>
          <w:rFonts w:ascii="Verdana" w:hAnsi="Verdana"/>
        </w:rPr>
        <w:t xml:space="preserve">. Každá Výzva k úhradě dle předchozí věty může být vystavena ve výši </w:t>
      </w:r>
      <w:r w:rsidR="00B1070B" w:rsidRPr="005E5BE9">
        <w:rPr>
          <w:rFonts w:ascii="Verdana" w:hAnsi="Verdana"/>
        </w:rPr>
        <w:t xml:space="preserve">jedné </w:t>
      </w:r>
      <w:r w:rsidR="005E5BE9" w:rsidRPr="005E5BE9">
        <w:rPr>
          <w:rFonts w:ascii="Verdana" w:hAnsi="Verdana"/>
        </w:rPr>
        <w:t>šedesátiny</w:t>
      </w:r>
      <w:r w:rsidR="00B1070B" w:rsidRPr="005E5BE9">
        <w:rPr>
          <w:rFonts w:ascii="Verdana" w:hAnsi="Verdana"/>
        </w:rPr>
        <w:t xml:space="preserve"> (1/</w:t>
      </w:r>
      <w:r w:rsidR="005E5BE9" w:rsidRPr="005E5BE9">
        <w:rPr>
          <w:rFonts w:ascii="Verdana" w:hAnsi="Verdana"/>
        </w:rPr>
        <w:t>60</w:t>
      </w:r>
      <w:r w:rsidR="00B1070B" w:rsidRPr="005E5BE9">
        <w:rPr>
          <w:rFonts w:ascii="Verdana" w:hAnsi="Verdana"/>
        </w:rPr>
        <w:t xml:space="preserve">) </w:t>
      </w:r>
      <w:r w:rsidR="005E5BE9" w:rsidRPr="005E5BE9">
        <w:rPr>
          <w:rFonts w:ascii="Verdana" w:hAnsi="Verdana"/>
        </w:rPr>
        <w:t>Ceny díla</w:t>
      </w:r>
      <w:r w:rsidRPr="005E5BE9">
        <w:rPr>
          <w:rFonts w:ascii="Verdana" w:hAnsi="Verdana"/>
        </w:rPr>
        <w:t>.</w:t>
      </w:r>
    </w:p>
    <w:p w14:paraId="3D5B8F3E" w14:textId="4FB9D0AC" w:rsidR="007B2AB5" w:rsidRPr="00993DAA" w:rsidRDefault="007B2AB5" w:rsidP="007B2AB5">
      <w:pPr>
        <w:pStyle w:val="Nadpis2"/>
        <w:spacing w:line="276" w:lineRule="auto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</w:t>
      </w:r>
      <w:r w:rsidR="005530D3">
        <w:rPr>
          <w:rFonts w:ascii="Verdana" w:hAnsi="Verdana"/>
        </w:rPr>
        <w:t xml:space="preserve">účetním nebo </w:t>
      </w:r>
      <w:r w:rsidRPr="4D589A9E">
        <w:rPr>
          <w:rFonts w:ascii="Verdana" w:hAnsi="Verdana"/>
        </w:rPr>
        <w:t xml:space="preserve">daňovým dokladem. </w:t>
      </w:r>
      <w:r w:rsidR="00AF3385">
        <w:rPr>
          <w:rFonts w:ascii="Verdana" w:hAnsi="Verdana"/>
        </w:rPr>
        <w:t>V</w:t>
      </w:r>
      <w:r w:rsidR="00AF3385" w:rsidRPr="006452F5">
        <w:rPr>
          <w:rFonts w:ascii="Verdana" w:hAnsi="Verdana"/>
        </w:rPr>
        <w:t> případě, že se bude jednat o úhradu z </w:t>
      </w:r>
      <w:r w:rsidR="00AF3385">
        <w:rPr>
          <w:rFonts w:ascii="Verdana" w:hAnsi="Verdana"/>
        </w:rPr>
        <w:t>níže</w:t>
      </w:r>
      <w:r w:rsidR="00AF3385" w:rsidRPr="006452F5">
        <w:rPr>
          <w:rFonts w:ascii="Verdana" w:hAnsi="Verdana"/>
        </w:rPr>
        <w:t xml:space="preserve"> uvedených projektů</w:t>
      </w:r>
      <w:r w:rsidR="00AF3385">
        <w:rPr>
          <w:rFonts w:ascii="Verdana" w:hAnsi="Verdana"/>
        </w:rPr>
        <w:t>, k</w:t>
      </w:r>
      <w:r w:rsidR="009D6C84">
        <w:rPr>
          <w:rFonts w:ascii="Verdana" w:hAnsi="Verdana"/>
        </w:rPr>
        <w:t xml:space="preserve">romě náležitostí účetního či daňového dokladu musí </w:t>
      </w:r>
      <w:r w:rsidR="004D1253">
        <w:rPr>
          <w:rFonts w:ascii="Verdana" w:hAnsi="Verdana"/>
        </w:rPr>
        <w:t xml:space="preserve">být </w:t>
      </w:r>
      <w:r w:rsidR="009D6C84">
        <w:rPr>
          <w:rFonts w:ascii="Verdana" w:hAnsi="Verdana"/>
        </w:rPr>
        <w:t xml:space="preserve">Výzva k úhradě </w:t>
      </w:r>
      <w:r w:rsidR="004D1253">
        <w:rPr>
          <w:rFonts w:ascii="Verdana" w:hAnsi="Verdana"/>
        </w:rPr>
        <w:t xml:space="preserve">označena </w:t>
      </w:r>
      <w:r w:rsidR="004D1253" w:rsidRPr="00FF492D">
        <w:rPr>
          <w:rFonts w:ascii="Verdana" w:hAnsi="Verdana"/>
        </w:rPr>
        <w:t xml:space="preserve">registračním číslem projektu: </w:t>
      </w:r>
      <w:r w:rsidR="00002DB9" w:rsidRPr="00FF492D">
        <w:rPr>
          <w:rFonts w:ascii="Verdana" w:hAnsi="Verdana"/>
        </w:rPr>
        <w:t>SFDI S631900077 / 5003520160</w:t>
      </w:r>
      <w:r w:rsidR="00F36A9A">
        <w:rPr>
          <w:rFonts w:ascii="Verdana" w:hAnsi="Verdana"/>
        </w:rPr>
        <w:t>, případně jiným příslušným číslem projektu</w:t>
      </w:r>
      <w:r w:rsidR="00AF3385" w:rsidRPr="00FF492D">
        <w:rPr>
          <w:rFonts w:ascii="Verdana" w:hAnsi="Verdana"/>
        </w:rPr>
        <w:t>.</w:t>
      </w:r>
      <w:r w:rsidR="00AF3385">
        <w:rPr>
          <w:rFonts w:ascii="Verdana" w:hAnsi="Verdana"/>
        </w:rPr>
        <w:t xml:space="preserve"> </w:t>
      </w:r>
      <w:r w:rsidR="00C970A5">
        <w:t>Pokud je Výzva k úhradě hrazena z více zdrojů, budou na ní uvedena všechna čísla projektů.</w:t>
      </w:r>
      <w:r w:rsidR="00AF3385" w:rsidRPr="00AF3385">
        <w:rPr>
          <w:rFonts w:ascii="Verdana" w:hAnsi="Verdana"/>
        </w:rPr>
        <w:t xml:space="preserve"> </w:t>
      </w:r>
      <w:r w:rsidR="00AF3385">
        <w:rPr>
          <w:rFonts w:ascii="Verdana" w:hAnsi="Verdana"/>
        </w:rPr>
        <w:t>O těchto skutečnostech Objednatel Zhotovitele včas a řádně informuje</w:t>
      </w:r>
      <w:r w:rsidR="00AF3385" w:rsidRPr="006452F5">
        <w:rPr>
          <w:rFonts w:ascii="Verdana" w:hAnsi="Verdana"/>
        </w:rPr>
        <w:t>.</w:t>
      </w:r>
    </w:p>
    <w:p w14:paraId="76BE8E14" w14:textId="309DBAFE" w:rsidR="003F3000" w:rsidRDefault="00E726E0" w:rsidP="007B2AB5">
      <w:pPr>
        <w:pStyle w:val="Nadpis2"/>
        <w:spacing w:line="276" w:lineRule="auto"/>
        <w:rPr>
          <w:rFonts w:ascii="Verdana" w:hAnsi="Verdana"/>
        </w:rPr>
      </w:pPr>
      <w:bookmarkStart w:id="42" w:name="_Ref414377584"/>
      <w:bookmarkStart w:id="43" w:name="_Ref420588653"/>
      <w:bookmarkStart w:id="44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E9075A4" w14:textId="0A70E3A5" w:rsidR="00E726E0" w:rsidRDefault="004D5443" w:rsidP="006602DB">
      <w:pPr>
        <w:pStyle w:val="Nadpis3"/>
      </w:pPr>
      <w:r w:rsidRPr="004D5443">
        <w:t xml:space="preserve">V </w:t>
      </w:r>
      <w:r w:rsidRPr="006602DB">
        <w:t>listinné</w:t>
      </w:r>
      <w:r w:rsidRPr="004D5443">
        <w:t xml:space="preserve"> podobě na adresu:</w:t>
      </w:r>
    </w:p>
    <w:p w14:paraId="1A351F68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0302A4D6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177A673B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27D9F979" w14:textId="4DD712D5" w:rsidR="004D5443" w:rsidRPr="00864282" w:rsidRDefault="004D5443" w:rsidP="00864282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76FDCDBF" w14:textId="0523913F" w:rsidR="00E726E0" w:rsidRDefault="004D5443" w:rsidP="006602DB">
      <w:pPr>
        <w:pStyle w:val="Nadpis3"/>
      </w:pPr>
      <w:r>
        <w:t>V</w:t>
      </w:r>
      <w:r w:rsidRPr="004D5443">
        <w:t xml:space="preserve"> </w:t>
      </w:r>
      <w:r w:rsidRPr="006602DB">
        <w:t>elektronické</w:t>
      </w:r>
      <w:r w:rsidRPr="004D5443">
        <w:t xml:space="preserve"> podobě na adresu</w:t>
      </w:r>
      <w:r>
        <w:t>:</w:t>
      </w:r>
    </w:p>
    <w:p w14:paraId="4087CA78" w14:textId="39CC7066" w:rsidR="004D5443" w:rsidRPr="00864282" w:rsidRDefault="00CD10E7" w:rsidP="00864282">
      <w:pPr>
        <w:ind w:left="1247"/>
        <w:rPr>
          <w:lang w:eastAsia="cs-CZ"/>
        </w:rPr>
      </w:pPr>
      <w:hyperlink r:id="rId7" w:history="1">
        <w:r w:rsidR="004D5443" w:rsidRPr="00491293">
          <w:rPr>
            <w:rStyle w:val="Hypertextovodkaz"/>
            <w:lang w:eastAsia="cs-CZ"/>
          </w:rPr>
          <w:t>ePodatelnaCFU@spravazeleznic.cz</w:t>
        </w:r>
      </w:hyperlink>
      <w:r w:rsidR="004D5443">
        <w:rPr>
          <w:lang w:eastAsia="cs-CZ"/>
        </w:rPr>
        <w:t xml:space="preserve"> </w:t>
      </w:r>
    </w:p>
    <w:p w14:paraId="01CB08EF" w14:textId="47816710" w:rsidR="00E726E0" w:rsidRDefault="004D5443" w:rsidP="006602DB">
      <w:pPr>
        <w:pStyle w:val="Nadpis3"/>
      </w:pPr>
      <w:r w:rsidRPr="006602DB">
        <w:t>prostřednictvím</w:t>
      </w:r>
      <w:r w:rsidRPr="004D5443">
        <w:t xml:space="preserve"> datové schránky</w:t>
      </w:r>
      <w:r>
        <w:t>:</w:t>
      </w:r>
    </w:p>
    <w:p w14:paraId="4A5BA15C" w14:textId="4F369D9A" w:rsidR="004D5443" w:rsidRPr="00864282" w:rsidRDefault="004D5443" w:rsidP="00864282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7C931BF8" w14:textId="37A7F31A" w:rsidR="007B2AB5" w:rsidRPr="00FB3BC4" w:rsidRDefault="007B2AB5" w:rsidP="007B2AB5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lastRenderedPageBreak/>
        <w:t>Splatnost každé Výzvy k úhradě</w:t>
      </w:r>
      <w:r w:rsidRPr="00FB3BC4">
        <w:rPr>
          <w:rFonts w:ascii="Verdana" w:hAnsi="Verdana"/>
        </w:rPr>
        <w:t xml:space="preserve"> se sjednává na </w:t>
      </w:r>
      <w:r w:rsidRPr="00C24829">
        <w:rPr>
          <w:rFonts w:ascii="Verdana" w:hAnsi="Verdana"/>
        </w:rPr>
        <w:t>60</w:t>
      </w:r>
      <w:r w:rsidRPr="00891133">
        <w:rPr>
          <w:rFonts w:ascii="Verdana" w:hAnsi="Verdana"/>
        </w:rPr>
        <w:t xml:space="preserve"> kale</w:t>
      </w:r>
      <w:r w:rsidRPr="00FB3BC4">
        <w:rPr>
          <w:rFonts w:ascii="Verdana" w:hAnsi="Verdana"/>
        </w:rPr>
        <w:t>ndářních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2"/>
      <w:bookmarkEnd w:id="43"/>
      <w:bookmarkEnd w:id="44"/>
    </w:p>
    <w:p w14:paraId="32A4E48B" w14:textId="51CEE8F7" w:rsidR="007B2AB5" w:rsidRPr="00190C69" w:rsidRDefault="007B2AB5" w:rsidP="007B2AB5">
      <w:pPr>
        <w:pStyle w:val="Nadpis2"/>
        <w:spacing w:line="276" w:lineRule="auto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</w:t>
      </w:r>
      <w:r w:rsidR="00540F10" w:rsidRPr="00190C69">
        <w:rPr>
          <w:rFonts w:ascii="Verdana" w:hAnsi="Verdana"/>
        </w:rPr>
        <w:t>svého úpadku</w:t>
      </w:r>
      <w:r w:rsidRPr="00190C69">
        <w:rPr>
          <w:rFonts w:ascii="Verdana" w:hAnsi="Verdana"/>
        </w:rPr>
        <w:t xml:space="preserve">, popř. od vydání rozhodnutí správce daně, že je </w:t>
      </w:r>
      <w:r w:rsidR="00540F10" w:rsidRPr="00190C69"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nespolehlivým plátcem dle § </w:t>
      </w:r>
      <w:proofErr w:type="gramStart"/>
      <w:r w:rsidRPr="00190C69">
        <w:rPr>
          <w:rFonts w:ascii="Verdana" w:hAnsi="Verdana"/>
        </w:rPr>
        <w:t>106a</w:t>
      </w:r>
      <w:proofErr w:type="gramEnd"/>
      <w:r w:rsidRPr="00190C69">
        <w:rPr>
          <w:rFonts w:ascii="Verdana" w:hAnsi="Verdana"/>
        </w:rPr>
        <w:t xml:space="preserve"> </w:t>
      </w:r>
      <w:r w:rsidR="00EB2410">
        <w:rPr>
          <w:rFonts w:ascii="Verdana" w:hAnsi="Verdana"/>
        </w:rPr>
        <w:t>zákona č. 235/2004 Sb., o dani z přidané hodnoty</w:t>
      </w:r>
      <w:r w:rsidR="0018117B">
        <w:rPr>
          <w:rFonts w:ascii="Verdana" w:hAnsi="Verdana"/>
        </w:rPr>
        <w:t>, ve znění pozdějších předpisů</w:t>
      </w:r>
      <w:r w:rsidR="00EB2410">
        <w:rPr>
          <w:rFonts w:ascii="Verdana" w:hAnsi="Verdana"/>
        </w:rPr>
        <w:t xml:space="preserve"> (dále jen „</w:t>
      </w:r>
      <w:r w:rsidRPr="00B05BFC">
        <w:rPr>
          <w:rFonts w:ascii="Verdana" w:hAnsi="Verdana"/>
          <w:b/>
          <w:bCs/>
        </w:rPr>
        <w:t>ZDPH</w:t>
      </w:r>
      <w:r w:rsidR="00EB2410"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7AE06E40" w14:textId="4DD015B6" w:rsidR="007B2AB5" w:rsidRPr="00190C69" w:rsidRDefault="00190C69" w:rsidP="007B2AB5">
      <w:pPr>
        <w:pStyle w:val="Nadpis2"/>
        <w:spacing w:line="276" w:lineRule="auto"/>
        <w:rPr>
          <w:rFonts w:ascii="Verdana" w:hAnsi="Verdana"/>
        </w:rPr>
      </w:pPr>
      <w:bookmarkStart w:id="45" w:name="_Ref6316754"/>
      <w:r>
        <w:rPr>
          <w:rFonts w:ascii="Verdana" w:hAnsi="Verdana"/>
        </w:rPr>
        <w:t>Zhotovitel</w:t>
      </w:r>
      <w:r w:rsidR="007B2AB5"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 w:rsidR="008A48FD">
        <w:rPr>
          <w:rFonts w:ascii="Verdana" w:hAnsi="Verdana"/>
        </w:rPr>
        <w:t>m</w:t>
      </w:r>
      <w:r w:rsidR="007B2AB5"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="007B2AB5"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5"/>
    </w:p>
    <w:p w14:paraId="3E800455" w14:textId="6FDC6167" w:rsidR="003A0A0E" w:rsidRDefault="007B2AB5" w:rsidP="007B2AB5">
      <w:pPr>
        <w:pStyle w:val="Nadpis2"/>
        <w:spacing w:line="276" w:lineRule="auto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="00971F40"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 w:rsidR="00971F40"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 w:rsidR="00971F40"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 w:rsidR="00EB2410"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 w:rsidR="00971F40"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 w:rsidR="00971F40"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 w:rsidR="003E5B8C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="003E5B8C" w:rsidRPr="00594858">
        <w:rPr>
          <w:rFonts w:ascii="Verdana" w:hAnsi="Verdana"/>
        </w:rPr>
        <w:t>podstatné porušení Smlouvy</w:t>
      </w:r>
      <w:r w:rsidR="003A0A0E" w:rsidRPr="00594858">
        <w:rPr>
          <w:rFonts w:ascii="Verdana" w:hAnsi="Verdana"/>
        </w:rPr>
        <w:t>.</w:t>
      </w:r>
    </w:p>
    <w:p w14:paraId="205AB0D0" w14:textId="7CCDCD8A" w:rsidR="00D13228" w:rsidRPr="00713BE8" w:rsidRDefault="00D13228" w:rsidP="00713BE8">
      <w:pPr>
        <w:pStyle w:val="Nadpis2"/>
        <w:spacing w:line="276" w:lineRule="auto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</w:t>
      </w:r>
      <w:r w:rsidR="00EB2410" w:rsidRPr="00713BE8">
        <w:rPr>
          <w:rFonts w:ascii="Verdana" w:hAnsi="Verdana"/>
          <w:iCs/>
        </w:rPr>
        <w:t xml:space="preserve"> vůči</w:t>
      </w:r>
      <w:r w:rsidRPr="00713BE8">
        <w:rPr>
          <w:rFonts w:ascii="Verdana" w:hAnsi="Verdana"/>
          <w:iCs/>
        </w:rPr>
        <w:t xml:space="preserve"> svým </w:t>
      </w:r>
      <w:r w:rsidR="00CD2261" w:rsidRPr="00713BE8">
        <w:rPr>
          <w:rFonts w:ascii="Verdana" w:hAnsi="Verdana"/>
          <w:iCs/>
        </w:rPr>
        <w:t>P</w:t>
      </w:r>
      <w:r w:rsidRPr="00713BE8">
        <w:rPr>
          <w:rFonts w:ascii="Verdana" w:hAnsi="Verdana"/>
          <w:iCs/>
        </w:rPr>
        <w:t xml:space="preserve">oddodavatelům, prostřednictvím kterých bude realizovat Dílo, resp. jeho část dle této Smlouvy. Za řádné a včasné plnění dle předcházející věty se považuje plné uhrazení </w:t>
      </w:r>
      <w:r w:rsidR="00CD2261" w:rsidRPr="00713BE8">
        <w:rPr>
          <w:rFonts w:ascii="Verdana" w:hAnsi="Verdana"/>
          <w:iCs/>
        </w:rPr>
        <w:t>P</w:t>
      </w:r>
      <w:r w:rsidRPr="00713BE8">
        <w:rPr>
          <w:rFonts w:ascii="Verdana" w:hAnsi="Verdana"/>
          <w:iCs/>
        </w:rPr>
        <w:t>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49D67D4E" w14:textId="4B9B2224" w:rsidR="00FC6D6C" w:rsidRDefault="006C79A0" w:rsidP="00993DAA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74C02337" w14:textId="77777777" w:rsidR="00E772A7" w:rsidRPr="00E772A7" w:rsidRDefault="00E772A7" w:rsidP="006F4B46">
      <w:pPr>
        <w:pStyle w:val="Odstavecseseznamem"/>
        <w:spacing w:after="120" w:line="276" w:lineRule="auto"/>
        <w:ind w:left="1800"/>
        <w:contextualSpacing w:val="0"/>
        <w:jc w:val="both"/>
        <w:rPr>
          <w:vanish/>
          <w:lang w:eastAsia="cs-CZ"/>
        </w:rPr>
      </w:pPr>
    </w:p>
    <w:p w14:paraId="03FE676B" w14:textId="77777777" w:rsidR="00765625" w:rsidRDefault="003764D5" w:rsidP="000A227B">
      <w:pPr>
        <w:pStyle w:val="Nadpis2"/>
        <w:spacing w:line="276" w:lineRule="auto"/>
        <w:ind w:left="1003" w:hanging="578"/>
      </w:pPr>
      <w:r>
        <w:t>Pravidla Akceptačního řízení uvedená v části 8 ZOP se nepoužijí.</w:t>
      </w:r>
      <w:r w:rsidR="00A5469A">
        <w:t xml:space="preserve"> </w:t>
      </w:r>
      <w:r w:rsidR="00B45707">
        <w:t xml:space="preserve">Zhotovitel odpovídá za to, že v Den </w:t>
      </w:r>
      <w:r w:rsidR="00B45707" w:rsidRPr="006F4B46">
        <w:rPr>
          <w:rFonts w:ascii="Verdana" w:hAnsi="Verdana"/>
          <w:iCs/>
        </w:rPr>
        <w:t>zavedení</w:t>
      </w:r>
      <w:r w:rsidR="00B45707">
        <w:t xml:space="preserve"> konektivity Dílo odpovídá této Smlouvě, včetně všech požadavků; to nevylučuje možnost Objednatele provést </w:t>
      </w:r>
      <w:r w:rsidR="00B45707" w:rsidRPr="00B45707">
        <w:t>Ochran</w:t>
      </w:r>
      <w:r w:rsidR="00B45707">
        <w:t>y</w:t>
      </w:r>
      <w:r w:rsidR="00B45707" w:rsidRPr="00B45707">
        <w:t xml:space="preserve"> proti </w:t>
      </w:r>
      <w:proofErr w:type="spellStart"/>
      <w:r w:rsidR="00B45707" w:rsidRPr="00B45707">
        <w:t>DDoS</w:t>
      </w:r>
      <w:proofErr w:type="spellEnd"/>
      <w:r w:rsidR="00B45707" w:rsidRPr="00B45707">
        <w:t xml:space="preserve"> útokům</w:t>
      </w:r>
      <w:r w:rsidR="00B45707">
        <w:t xml:space="preserve"> či jiné testy, a to kdykoliv za trvání Smlouvy ode Dne zavedení konektivity.</w:t>
      </w:r>
    </w:p>
    <w:p w14:paraId="04631ED2" w14:textId="3081D432" w:rsidR="00A5469A" w:rsidRPr="00335690" w:rsidRDefault="00765625" w:rsidP="006602DB">
      <w:pPr>
        <w:pStyle w:val="Nadpis2"/>
        <w:spacing w:line="276" w:lineRule="auto"/>
        <w:ind w:left="1003" w:hanging="578"/>
      </w:pPr>
      <w:r w:rsidRPr="00E41CEB">
        <w:t xml:space="preserve">Zhotovitel je </w:t>
      </w:r>
      <w:r w:rsidRPr="00C24829">
        <w:t>nejpozději v Den zavedení konektivity</w:t>
      </w:r>
      <w:r w:rsidRPr="00E41CEB">
        <w:t xml:space="preserve"> povinen</w:t>
      </w:r>
      <w:r>
        <w:t xml:space="preserve"> předložit Objednateli </w:t>
      </w:r>
      <w:r w:rsidR="00904171" w:rsidRPr="00904171">
        <w:t xml:space="preserve">potvrzení </w:t>
      </w:r>
      <w:r w:rsidR="00904171">
        <w:t xml:space="preserve">o </w:t>
      </w:r>
      <w:r w:rsidR="00904171" w:rsidRPr="00904171">
        <w:t>realizac</w:t>
      </w:r>
      <w:r w:rsidR="00904171">
        <w:t>i</w:t>
      </w:r>
      <w:r w:rsidR="00904171" w:rsidRPr="00904171">
        <w:t xml:space="preserve"> zátěžových testů</w:t>
      </w:r>
      <w:r w:rsidR="00904171">
        <w:t xml:space="preserve"> ve vztahu k </w:t>
      </w:r>
      <w:r w:rsidR="00904171" w:rsidRPr="00765625">
        <w:t>Ochran</w:t>
      </w:r>
      <w:r w:rsidR="00904171">
        <w:t>ě</w:t>
      </w:r>
      <w:r w:rsidR="00904171" w:rsidRPr="00765625">
        <w:t xml:space="preserve"> proti </w:t>
      </w:r>
      <w:proofErr w:type="spellStart"/>
      <w:r w:rsidR="00904171" w:rsidRPr="00765625">
        <w:t>DDoS</w:t>
      </w:r>
      <w:proofErr w:type="spellEnd"/>
      <w:r w:rsidR="00904171" w:rsidRPr="00765625">
        <w:t xml:space="preserve"> útokům</w:t>
      </w:r>
      <w:r w:rsidR="00904171" w:rsidRPr="00904171">
        <w:t xml:space="preserve"> vč. jejich výstupů</w:t>
      </w:r>
      <w:r>
        <w:t xml:space="preserve"> a zároveň Dokumentaci.</w:t>
      </w:r>
      <w:r w:rsidR="00A5469A">
        <w:t xml:space="preserve">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bookmarkStart w:id="46" w:name="_Ref98865709"/>
      <w:r>
        <w:rPr>
          <w:rFonts w:ascii="Verdana" w:hAnsi="Verdana"/>
        </w:rPr>
        <w:t>Licenční ujednání</w:t>
      </w:r>
      <w:bookmarkEnd w:id="46"/>
    </w:p>
    <w:p w14:paraId="5DA26755" w14:textId="50BAD887" w:rsidR="0031272D" w:rsidRDefault="00D964A6" w:rsidP="0031272D">
      <w:pPr>
        <w:pStyle w:val="Nadpis2"/>
        <w:spacing w:line="276" w:lineRule="auto"/>
      </w:pPr>
      <w:r>
        <w:t>Licence k</w:t>
      </w:r>
      <w:r w:rsidR="00221A46">
        <w:t> jakémukoliv</w:t>
      </w:r>
      <w:r>
        <w:t xml:space="preserve"> Software</w:t>
      </w:r>
      <w:r w:rsidR="00221A46">
        <w:t xml:space="preserve"> potřebnému pro provedení Díla</w:t>
      </w:r>
      <w:r>
        <w:t xml:space="preserve"> je povinen zajistit </w:t>
      </w:r>
      <w:r w:rsidR="00221A46">
        <w:t>Zhotovitel</w:t>
      </w:r>
      <w:r>
        <w:t>.</w:t>
      </w:r>
      <w:r w:rsidR="00DB4218">
        <w:t xml:space="preserve"> Licenční poplatky či jiné náklady související </w:t>
      </w:r>
      <w:r w:rsidR="00480B6A">
        <w:t>s udržování</w:t>
      </w:r>
      <w:r w:rsidR="0031272D">
        <w:t>m</w:t>
      </w:r>
      <w:r w:rsidR="00480B6A">
        <w:t xml:space="preserve"> platných licencí </w:t>
      </w:r>
      <w:r w:rsidR="00F86896">
        <w:t>po celou dobu trvání Smlouvy jsou nedílnou součástí Ceny díla.</w:t>
      </w:r>
    </w:p>
    <w:p w14:paraId="49CC7C8D" w14:textId="2301F68E" w:rsidR="00C7435D" w:rsidRPr="00C7435D" w:rsidRDefault="00C7435D" w:rsidP="00C7435D">
      <w:pPr>
        <w:pStyle w:val="Nadpis2"/>
        <w:spacing w:line="276" w:lineRule="auto"/>
      </w:pPr>
      <w:r w:rsidRPr="00C7435D">
        <w:lastRenderedPageBreak/>
        <w:t>Zhotovitel prohlašuje a zavazuje se, že je a bude plně oprávněn disponovat právy duševního vlastnictví týkající</w:t>
      </w:r>
      <w:r w:rsidR="00612B38">
        <w:t>mi</w:t>
      </w:r>
      <w:r w:rsidRPr="00C7435D">
        <w:t xml:space="preserve"> se </w:t>
      </w:r>
      <w:r>
        <w:t>D</w:t>
      </w:r>
      <w:r w:rsidRPr="00C7435D">
        <w:t xml:space="preserve">íla, včetně práv autorských, a zavazuje se zajistit řádné a nerušené užívání </w:t>
      </w:r>
      <w:r>
        <w:t>D</w:t>
      </w:r>
      <w:r w:rsidRPr="00C7435D">
        <w:t>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C7435D">
      <w:pPr>
        <w:pStyle w:val="Nadpis2"/>
        <w:spacing w:line="276" w:lineRule="auto"/>
      </w:pPr>
      <w:r w:rsidRPr="00C7435D">
        <w:t xml:space="preserve">Zhotovitel se zavazuje, že při </w:t>
      </w:r>
      <w:r w:rsidR="007F5D02">
        <w:t>provádění</w:t>
      </w:r>
      <w:r w:rsidRPr="00C7435D"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>
        <w:t> </w:t>
      </w:r>
      <w:r w:rsidRPr="00C7435D"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1A4D4509" w14:textId="4FF09597" w:rsidR="006F781D" w:rsidRDefault="006F781D" w:rsidP="006F781D">
      <w:pPr>
        <w:pStyle w:val="Nadpis2"/>
        <w:spacing w:line="276" w:lineRule="auto"/>
      </w:pPr>
      <w:r>
        <w:t>Objednatel nepožaduje provedení školení ze strany Zhotovitele.</w:t>
      </w:r>
    </w:p>
    <w:p w14:paraId="1B1197D8" w14:textId="2B381902" w:rsidR="001865A9" w:rsidRPr="00EE2D0D" w:rsidRDefault="00FA0A5B" w:rsidP="001865A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Požadavky na provozování služeb</w:t>
      </w:r>
    </w:p>
    <w:p w14:paraId="261DD957" w14:textId="2BA09DF8" w:rsidR="0087567B" w:rsidRDefault="00CF6A98" w:rsidP="001865A9">
      <w:pPr>
        <w:pStyle w:val="Nadpis2"/>
        <w:spacing w:line="276" w:lineRule="auto"/>
      </w:pPr>
      <w:r>
        <w:t xml:space="preserve">Zhotovitel je </w:t>
      </w:r>
      <w:r w:rsidR="00C16CEA">
        <w:t xml:space="preserve">povinen </w:t>
      </w:r>
      <w:r w:rsidR="00FA0A5B">
        <w:t>po celou dobu trvání smlouvy plnit p</w:t>
      </w:r>
      <w:r w:rsidR="00FA0A5B" w:rsidRPr="00FA0A5B">
        <w:t>ožadavky na provozování telekomunikační sítě a služeb, které jsou v rámci této telekomunikační sítě poskytovány</w:t>
      </w:r>
      <w:r w:rsidR="0087567B">
        <w:t>:</w:t>
      </w:r>
    </w:p>
    <w:p w14:paraId="0CFAF75D" w14:textId="49F4B293" w:rsidR="001865A9" w:rsidRDefault="0087567B" w:rsidP="6DC4B986">
      <w:pPr>
        <w:pStyle w:val="Nadpis3"/>
        <w:contextualSpacing w:val="0"/>
      </w:pPr>
      <w:r>
        <w:t xml:space="preserve">Zhotovitel provozuje plně redundantní, a na sobě nezávislé přípojky do nejméně dvou </w:t>
      </w:r>
      <w:proofErr w:type="spellStart"/>
      <w:r>
        <w:t>peeringových</w:t>
      </w:r>
      <w:proofErr w:type="spellEnd"/>
      <w:r>
        <w:t xml:space="preserve"> uzlů tak, aby v případě výpadku všech přípojek do jednoho uzlu byly ostatní schopny automaticky převzít a přenést bez přetížení veškerý datový provoz. Přetížením se rozumí překročení hranice 95. percentilu souhrnného provozu na ostatních přípojkách</w:t>
      </w:r>
      <w:r w:rsidR="001865A9">
        <w:t>.</w:t>
      </w:r>
    </w:p>
    <w:p w14:paraId="7DA02585" w14:textId="43B995C2" w:rsidR="0087567B" w:rsidRPr="006602DB" w:rsidRDefault="0087567B" w:rsidP="67EDB239">
      <w:pPr>
        <w:pStyle w:val="Nadpis3"/>
        <w:contextualSpacing w:val="0"/>
      </w:pPr>
      <w:r>
        <w:t>Zhotovitel smluvně zakazuje svým zákazníkům zneužívání sítě (</w:t>
      </w:r>
      <w:proofErr w:type="spellStart"/>
      <w:r>
        <w:t>spamming</w:t>
      </w:r>
      <w:proofErr w:type="spellEnd"/>
      <w:r>
        <w:t>, útoky apod.).</w:t>
      </w:r>
    </w:p>
    <w:p w14:paraId="1F9ACDF1" w14:textId="3C6375EB" w:rsidR="0087567B" w:rsidRPr="006602DB" w:rsidRDefault="0087567B" w:rsidP="006602DB">
      <w:pPr>
        <w:pStyle w:val="Nadpis3"/>
        <w:contextualSpacing w:val="0"/>
      </w:pPr>
      <w:r w:rsidRPr="006602DB">
        <w:t>Zhotovitel provozuje ve své síti zároveň protokol IPv4 i IPv6 a přiděluje je svým zákazníkům. Prostřednictvím protokolu IPv4 a IPv6 zpřístupňuje svým zákazníkům své služby (např. webové prezentace a DNS servery).</w:t>
      </w:r>
    </w:p>
    <w:p w14:paraId="2B50A682" w14:textId="62984F45" w:rsidR="0087567B" w:rsidRPr="006602DB" w:rsidRDefault="0087567B" w:rsidP="006602DB">
      <w:pPr>
        <w:pStyle w:val="Nadpis3"/>
        <w:contextualSpacing w:val="0"/>
      </w:pPr>
      <w:r w:rsidRPr="006602DB">
        <w:t xml:space="preserve">Zhotovitel </w:t>
      </w:r>
      <w:r w:rsidR="008416F1" w:rsidRPr="006602DB">
        <w:t xml:space="preserve">má své domény, pod kterými komunikuje se svými zákazníky či obchodními partnery (včetně webů společnosti a produktových webů), podepsané pomocí technologie DNSSEC, tak aby použité algoritmy odpovídaly aktuálním bezpečnostním standardům, s výjimkou situací, kdy nasazení podepisování brání vážné technické důvody, a má zapnutou DNSSEC validaci na provozovaných </w:t>
      </w:r>
      <w:proofErr w:type="spellStart"/>
      <w:r w:rsidR="008416F1" w:rsidRPr="006602DB">
        <w:t>resolverech</w:t>
      </w:r>
      <w:proofErr w:type="spellEnd"/>
      <w:r w:rsidRPr="006602DB">
        <w:t>.</w:t>
      </w:r>
    </w:p>
    <w:p w14:paraId="63E5F166" w14:textId="5072E2E6" w:rsidR="0087567B" w:rsidRPr="006602DB" w:rsidRDefault="0087567B" w:rsidP="006602DB">
      <w:pPr>
        <w:pStyle w:val="Nadpis3"/>
        <w:contextualSpacing w:val="0"/>
      </w:pPr>
      <w:r w:rsidRPr="006602DB">
        <w:t xml:space="preserve">Zhotovitel </w:t>
      </w:r>
      <w:r w:rsidR="008416F1" w:rsidRPr="006602DB">
        <w:t xml:space="preserve">má dohledové středisko (NOC) bezproblémově fungující v režimu 24x7 s alespoň jedním telefonickým kontaktem bez obtíží </w:t>
      </w:r>
      <w:proofErr w:type="gramStart"/>
      <w:r w:rsidR="008416F1" w:rsidRPr="006602DB">
        <w:t>dosažitelným</w:t>
      </w:r>
      <w:proofErr w:type="gramEnd"/>
      <w:r w:rsidR="008416F1" w:rsidRPr="006602DB">
        <w:t xml:space="preserve"> i v případě masivního </w:t>
      </w:r>
      <w:proofErr w:type="spellStart"/>
      <w:r w:rsidR="008416F1" w:rsidRPr="006602DB">
        <w:t>DDoS</w:t>
      </w:r>
      <w:proofErr w:type="spellEnd"/>
      <w:r w:rsidR="008416F1" w:rsidRPr="006602DB">
        <w:t xml:space="preserve"> útoku na internetovou infrastrukturu, přičemž telefonické spojení je směřováno přímo na techniky schopné řešit problém a nesmí být realizováno přes IVR</w:t>
      </w:r>
      <w:r w:rsidRPr="006602DB">
        <w:t>.</w:t>
      </w:r>
    </w:p>
    <w:p w14:paraId="695D4510" w14:textId="22FDE288" w:rsidR="0087567B" w:rsidRPr="006602DB" w:rsidRDefault="0087567B" w:rsidP="006602DB">
      <w:pPr>
        <w:pStyle w:val="Nadpis3"/>
        <w:contextualSpacing w:val="0"/>
      </w:pPr>
      <w:r w:rsidRPr="006602DB">
        <w:t xml:space="preserve">Zhotovitel </w:t>
      </w:r>
      <w:r w:rsidR="008416F1" w:rsidRPr="006602DB">
        <w:t xml:space="preserve">ve své síti, používá filtrování zdrojových adres (zabránění IP </w:t>
      </w:r>
      <w:proofErr w:type="spellStart"/>
      <w:r w:rsidR="008416F1" w:rsidRPr="006602DB">
        <w:t>spoofingu</w:t>
      </w:r>
      <w:proofErr w:type="spellEnd"/>
      <w:r w:rsidR="008416F1" w:rsidRPr="006602DB">
        <w:t xml:space="preserve">) ve smyslu BCP-38 či SAC004. Pro IP adresy v rámci vlastních AS musí být </w:t>
      </w:r>
      <w:proofErr w:type="spellStart"/>
      <w:r w:rsidR="008416F1" w:rsidRPr="006602DB">
        <w:t>granularita</w:t>
      </w:r>
      <w:proofErr w:type="spellEnd"/>
      <w:r w:rsidR="008416F1" w:rsidRPr="006602DB">
        <w:t xml:space="preserve"> alespoň /24 u IPv4 a /48 u IPv6 s výjimkou prefixů oznamovaných pro speciální účely (jako např. RTBH, </w:t>
      </w:r>
      <w:proofErr w:type="spellStart"/>
      <w:r w:rsidR="008416F1" w:rsidRPr="006602DB">
        <w:t>DDoS</w:t>
      </w:r>
      <w:proofErr w:type="spellEnd"/>
      <w:r w:rsidR="008416F1" w:rsidRPr="006602DB">
        <w:t xml:space="preserve"> </w:t>
      </w:r>
      <w:proofErr w:type="spellStart"/>
      <w:r w:rsidR="008416F1" w:rsidRPr="006602DB">
        <w:t>Protector</w:t>
      </w:r>
      <w:proofErr w:type="spellEnd"/>
      <w:r w:rsidR="008416F1" w:rsidRPr="006602DB">
        <w:t xml:space="preserve">, </w:t>
      </w:r>
      <w:proofErr w:type="spellStart"/>
      <w:r w:rsidR="008416F1" w:rsidRPr="006602DB">
        <w:t>FlowSpec</w:t>
      </w:r>
      <w:proofErr w:type="spellEnd"/>
      <w:r w:rsidR="008416F1" w:rsidRPr="006602DB">
        <w:t xml:space="preserve"> pravidla apod.)</w:t>
      </w:r>
      <w:r w:rsidRPr="006602DB">
        <w:t>.</w:t>
      </w:r>
    </w:p>
    <w:p w14:paraId="7DAC557F" w14:textId="29111056" w:rsidR="008416F1" w:rsidRPr="006602DB" w:rsidRDefault="008416F1" w:rsidP="006602DB">
      <w:pPr>
        <w:pStyle w:val="Nadpis3"/>
        <w:contextualSpacing w:val="0"/>
      </w:pPr>
      <w:r w:rsidRPr="006602DB">
        <w:lastRenderedPageBreak/>
        <w:t xml:space="preserve">Zhotovitel má systém na detekci a likvidaci zdrojů útoku typ </w:t>
      </w:r>
      <w:proofErr w:type="spellStart"/>
      <w:r w:rsidRPr="006602DB">
        <w:t>amplification</w:t>
      </w:r>
      <w:proofErr w:type="spellEnd"/>
      <w:r w:rsidRPr="006602DB">
        <w:t xml:space="preserve"> (například DNS, SNMP, NTP, zákaz nespravovaných otevřených </w:t>
      </w:r>
      <w:proofErr w:type="spellStart"/>
      <w:r w:rsidRPr="006602DB">
        <w:t>resolverů</w:t>
      </w:r>
      <w:proofErr w:type="spellEnd"/>
      <w:r w:rsidRPr="006602DB">
        <w:t xml:space="preserve">, implementace response </w:t>
      </w:r>
      <w:proofErr w:type="spellStart"/>
      <w:r w:rsidRPr="006602DB">
        <w:t>rate</w:t>
      </w:r>
      <w:proofErr w:type="spellEnd"/>
      <w:r w:rsidRPr="006602DB">
        <w:t xml:space="preserve"> </w:t>
      </w:r>
      <w:proofErr w:type="spellStart"/>
      <w:r w:rsidRPr="006602DB">
        <w:t>limiting</w:t>
      </w:r>
      <w:proofErr w:type="spellEnd"/>
      <w:r w:rsidRPr="006602DB">
        <w:t>).</w:t>
      </w:r>
    </w:p>
    <w:p w14:paraId="6D95B159" w14:textId="17DF4EAD" w:rsidR="008416F1" w:rsidRPr="006602DB" w:rsidRDefault="008416F1" w:rsidP="006602DB">
      <w:pPr>
        <w:pStyle w:val="Nadpis3"/>
        <w:contextualSpacing w:val="0"/>
      </w:pPr>
      <w:r w:rsidRPr="006602DB">
        <w:t>Zhotovitel monitoruje páteřní linky i zákaznické přípojky alespoň z hlediska toků a přenášených paketů (například MRTG či obdobné), monitoring musí umět aktivně upozornit na vybočení sledovaných hodnot z běžného intervalu.</w:t>
      </w:r>
    </w:p>
    <w:p w14:paraId="0663DFE1" w14:textId="0394D9CD" w:rsidR="008416F1" w:rsidRPr="006602DB" w:rsidRDefault="008416F1" w:rsidP="006602DB">
      <w:pPr>
        <w:pStyle w:val="Nadpis3"/>
        <w:contextualSpacing w:val="0"/>
      </w:pPr>
      <w:r w:rsidRPr="006602DB">
        <w:t>Zhotovitel nepropaguje pomocí BGP protokolu jiné rozsahy, než ke kterým je oprávněn.</w:t>
      </w:r>
    </w:p>
    <w:p w14:paraId="1F10D9D2" w14:textId="731ECAE5" w:rsidR="008416F1" w:rsidRPr="006602DB" w:rsidRDefault="008416F1" w:rsidP="006602DB">
      <w:pPr>
        <w:pStyle w:val="Nadpis3"/>
        <w:contextualSpacing w:val="0"/>
      </w:pPr>
      <w:r w:rsidRPr="006602DB">
        <w:t xml:space="preserve">Zhotovitel své </w:t>
      </w:r>
      <w:proofErr w:type="spellStart"/>
      <w:r w:rsidRPr="006602DB">
        <w:t>routery</w:t>
      </w:r>
      <w:proofErr w:type="spellEnd"/>
      <w:r w:rsidRPr="006602DB">
        <w:t xml:space="preserve"> chrání v souladu s doporučením RFC 6192 (</w:t>
      </w:r>
      <w:proofErr w:type="spellStart"/>
      <w:r w:rsidRPr="006602DB">
        <w:t>control</w:t>
      </w:r>
      <w:proofErr w:type="spellEnd"/>
      <w:r w:rsidRPr="006602DB">
        <w:t xml:space="preserve"> plane </w:t>
      </w:r>
      <w:proofErr w:type="spellStart"/>
      <w:r w:rsidRPr="006602DB">
        <w:t>policy</w:t>
      </w:r>
      <w:proofErr w:type="spellEnd"/>
      <w:r w:rsidRPr="006602DB">
        <w:t>) nebo jiným srovnatelně účinným způsobem.</w:t>
      </w:r>
    </w:p>
    <w:p w14:paraId="22E69AC6" w14:textId="21B4E0DD" w:rsidR="008416F1" w:rsidRPr="006602DB" w:rsidRDefault="008416F1" w:rsidP="006602DB">
      <w:pPr>
        <w:pStyle w:val="Nadpis3"/>
        <w:contextualSpacing w:val="0"/>
      </w:pPr>
      <w:r w:rsidRPr="006602DB">
        <w:t>Zhotovitel má zavedeny vnitřní procesy pro řešení incidentů.</w:t>
      </w:r>
    </w:p>
    <w:p w14:paraId="42200D2F" w14:textId="5B8CB606" w:rsidR="008416F1" w:rsidRPr="006602DB" w:rsidRDefault="008416F1" w:rsidP="006602DB">
      <w:pPr>
        <w:pStyle w:val="Nadpis3"/>
        <w:contextualSpacing w:val="0"/>
      </w:pPr>
      <w:r w:rsidRPr="006602DB">
        <w:t>Zhotovitel sleduje bezpečnostní oznámení dodavatelů svých síťových komponent a patřičně na ně reaguje.</w:t>
      </w:r>
    </w:p>
    <w:p w14:paraId="4B73997A" w14:textId="14FBCA59" w:rsidR="0087567B" w:rsidRDefault="008416F1" w:rsidP="006602DB">
      <w:pPr>
        <w:pStyle w:val="Nadpis3"/>
        <w:contextualSpacing w:val="0"/>
      </w:pPr>
      <w:r w:rsidRPr="006602DB">
        <w:t>Zhotovitel má všechny své weby, na kterých komunikuje s Objednatelem, trvale přesměrovány na protokol HTTPS opatřený TLS certifikátem důvěryhodným v nejrozšířenějších</w:t>
      </w:r>
      <w:r w:rsidRPr="008416F1">
        <w:t xml:space="preserve"> webových prohlížečích, bez tzv. “</w:t>
      </w:r>
      <w:proofErr w:type="spellStart"/>
      <w:r w:rsidRPr="008416F1">
        <w:t>mixed</w:t>
      </w:r>
      <w:proofErr w:type="spellEnd"/>
      <w:r w:rsidRPr="008416F1">
        <w:t xml:space="preserve"> </w:t>
      </w:r>
      <w:proofErr w:type="spellStart"/>
      <w:r w:rsidRPr="008416F1">
        <w:t>content</w:t>
      </w:r>
      <w:proofErr w:type="spellEnd"/>
      <w:r w:rsidRPr="008416F1">
        <w:t>” a s nastaveným šifrováním dle Doporučení v oblasti kryptografických prostředků zveřejněném Národním úřadem pro kybernetickou a informační bezpečnost</w:t>
      </w:r>
      <w:r>
        <w:t>.</w:t>
      </w:r>
    </w:p>
    <w:p w14:paraId="1A8E6EF5" w14:textId="47A0F36D" w:rsidR="00E15101" w:rsidRPr="00C24829" w:rsidRDefault="00E15101" w:rsidP="006602DB">
      <w:pPr>
        <w:ind w:firstLine="708"/>
      </w:pPr>
      <w:r>
        <w:rPr>
          <w:rFonts w:ascii="Verdana" w:hAnsi="Verdana"/>
        </w:rPr>
        <w:t>(dále jen „</w:t>
      </w:r>
      <w:r w:rsidR="00FA0A5B">
        <w:rPr>
          <w:rFonts w:ascii="Verdana" w:hAnsi="Verdana"/>
          <w:b/>
          <w:bCs/>
        </w:rPr>
        <w:t>Požadavky na provozování služeb</w:t>
      </w:r>
      <w:r>
        <w:rPr>
          <w:rFonts w:ascii="Verdana" w:hAnsi="Verdana"/>
        </w:rPr>
        <w:t>“).</w:t>
      </w:r>
    </w:p>
    <w:p w14:paraId="618044D0" w14:textId="510E702F" w:rsidR="00F872F0" w:rsidRDefault="00F872F0" w:rsidP="00602906">
      <w:pPr>
        <w:pStyle w:val="Nadpis2"/>
        <w:spacing w:line="276" w:lineRule="auto"/>
      </w:pPr>
      <w:r>
        <w:t>Zhotovitel se zavazuje zajistit dodržování Požadavků na provozování služeb také u svých poddodavatelů.</w:t>
      </w:r>
    </w:p>
    <w:p w14:paraId="22805ACF" w14:textId="4E5C94DA" w:rsidR="00D07683" w:rsidRDefault="00602906" w:rsidP="00602906">
      <w:pPr>
        <w:pStyle w:val="Nadpis2"/>
        <w:spacing w:line="276" w:lineRule="auto"/>
      </w:pPr>
      <w:r>
        <w:t xml:space="preserve">Objednatel má právo prostřednictvím určených osob kdykoli kontrolovat plnění </w:t>
      </w:r>
      <w:r w:rsidR="00F872F0">
        <w:t>Požadavků na provozování služeb</w:t>
      </w:r>
      <w:r>
        <w:t xml:space="preserve"> Zhotovitelem a jeho případný</w:t>
      </w:r>
      <w:r w:rsidR="00F872F0">
        <w:t>mi</w:t>
      </w:r>
      <w:r>
        <w:t xml:space="preserve"> Poddodavatel</w:t>
      </w:r>
      <w:r w:rsidR="00F872F0">
        <w:t>i</w:t>
      </w:r>
      <w:r>
        <w:t>, a to i prostřednictvím třetí osoby.</w:t>
      </w:r>
    </w:p>
    <w:p w14:paraId="413588FC" w14:textId="146C3296" w:rsidR="00B646A1" w:rsidRDefault="00F872F0" w:rsidP="00B646A1">
      <w:pPr>
        <w:pStyle w:val="Nadpis2"/>
        <w:spacing w:line="276" w:lineRule="auto"/>
      </w:pPr>
      <w:r>
        <w:t>Objednatel za účelem provedení kontroly dle čl. 10.3 Smlouvy zašle Zhotoviteli písemné oznámení o kontrole nejméně 3 dny přede dnem konání kontroly, který objednatel specifikuje v uvedeném oznámení</w:t>
      </w:r>
      <w:r w:rsidR="7CE1FD1D">
        <w:t>.</w:t>
      </w:r>
      <w:r>
        <w:t xml:space="preserve"> Zhotovitel se zavazuje umožnit Objednateli provedení kontroly </w:t>
      </w:r>
      <w:r w:rsidR="00B646A1">
        <w:t>a poskytnout mu za tímto účelem veškerou požadovanou součinnost.</w:t>
      </w:r>
    </w:p>
    <w:p w14:paraId="15DD68AE" w14:textId="5ECE7D58" w:rsidR="00B646A1" w:rsidRPr="00B646A1" w:rsidRDefault="00B646A1" w:rsidP="00B646A1">
      <w:pPr>
        <w:pStyle w:val="Nadpis2"/>
      </w:pPr>
      <w:r>
        <w:t>O výsledku kontroly sepíší Smluvní strany protokol.</w:t>
      </w:r>
    </w:p>
    <w:p w14:paraId="5240988E" w14:textId="0F8CC57E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E31C0C9">
        <w:rPr>
          <w:rFonts w:ascii="Verdana" w:eastAsia="Times New Roman" w:hAnsi="Verdana"/>
          <w:lang w:eastAsia="cs-CZ"/>
        </w:rPr>
        <w:t>Účast poddodavatelů</w:t>
      </w:r>
    </w:p>
    <w:p w14:paraId="41D89176" w14:textId="40274386" w:rsidR="002F5D1D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č. </w:t>
      </w:r>
      <w:r w:rsidR="0044437A" w:rsidRPr="00C24829">
        <w:rPr>
          <w:rFonts w:ascii="Verdana" w:hAnsi="Verdana" w:cs="Tahoma"/>
        </w:rPr>
        <w:t>3</w:t>
      </w:r>
      <w:r>
        <w:rPr>
          <w:rFonts w:ascii="Verdana" w:hAnsi="Verdana" w:cs="Tahoma"/>
        </w:rPr>
        <w:t xml:space="preserve"> Smlouvy – Seznam poddodavatelů</w:t>
      </w:r>
      <w:r w:rsidR="00FF3372">
        <w:rPr>
          <w:rFonts w:ascii="Verdana" w:hAnsi="Verdana" w:cs="Tahoma"/>
        </w:rPr>
        <w:t>.</w:t>
      </w:r>
    </w:p>
    <w:p w14:paraId="07675F23" w14:textId="3B3B16CE" w:rsidR="003B30CD" w:rsidRPr="00201598" w:rsidRDefault="00370FAC" w:rsidP="00201598">
      <w:pPr>
        <w:pStyle w:val="Nadpis2"/>
        <w:spacing w:line="276" w:lineRule="auto"/>
        <w:rPr>
          <w:rFonts w:ascii="Verdana" w:hAnsi="Verdana" w:cs="Tahoma"/>
        </w:rPr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>oddodavatele do plnění 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který bude </w:t>
      </w:r>
      <w:r w:rsidR="00811F91" w:rsidRPr="0044437A">
        <w:rPr>
          <w:rFonts w:ascii="Verdana" w:hAnsi="Verdana" w:cs="Tahoma"/>
        </w:rPr>
        <w:t xml:space="preserve">tvořit </w:t>
      </w:r>
      <w:r w:rsidR="00811F91" w:rsidRPr="00C24829">
        <w:rPr>
          <w:rFonts w:ascii="Verdana" w:hAnsi="Verdana" w:cs="Tahoma"/>
        </w:rPr>
        <w:t xml:space="preserve">přílohu č. </w:t>
      </w:r>
      <w:r w:rsidR="0044437A" w:rsidRPr="00C24829">
        <w:rPr>
          <w:rFonts w:ascii="Verdana" w:hAnsi="Verdana" w:cs="Tahoma"/>
        </w:rPr>
        <w:t>3</w:t>
      </w:r>
      <w:r w:rsidR="00811F91" w:rsidRPr="0044437A">
        <w:rPr>
          <w:rFonts w:ascii="Verdana" w:hAnsi="Verdana" w:cs="Tahoma"/>
        </w:rPr>
        <w:t xml:space="preserve"> Smlouvy</w:t>
      </w:r>
      <w:r w:rsidR="00811F91" w:rsidRPr="4D589A9E">
        <w:rPr>
          <w:rFonts w:ascii="Verdana" w:hAnsi="Verdana" w:cs="Tahoma"/>
        </w:rPr>
        <w:t xml:space="preserve">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  <w:bookmarkStart w:id="47" w:name="_Toc419277825"/>
      <w:bookmarkStart w:id="48" w:name="_Toc420740299"/>
      <w:bookmarkStart w:id="49" w:name="_Toc420743530"/>
      <w:bookmarkStart w:id="50" w:name="_Toc420748761"/>
      <w:bookmarkStart w:id="51" w:name="_Toc425495333"/>
    </w:p>
    <w:bookmarkEnd w:id="47"/>
    <w:bookmarkEnd w:id="48"/>
    <w:bookmarkEnd w:id="49"/>
    <w:bookmarkEnd w:id="50"/>
    <w:bookmarkEnd w:id="51"/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3B381F06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</w:t>
      </w:r>
      <w:r w:rsidRPr="00E30651">
        <w:rPr>
          <w:rFonts w:ascii="Verdana" w:hAnsi="Verdana" w:cs="Tahoma"/>
        </w:rPr>
        <w:lastRenderedPageBreak/>
        <w:t>souvisejících 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0826991" w:rsidR="00C707E5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2" w:name="_Toc425495297"/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2"/>
    </w:p>
    <w:p w14:paraId="2712596E" w14:textId="14A4B949" w:rsidR="00C707E5" w:rsidRPr="006A30AB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0114AD57" w:rsidR="00C707E5" w:rsidRPr="008B67C6" w:rsidRDefault="00C707E5" w:rsidP="00C707E5">
      <w:pPr>
        <w:numPr>
          <w:ilvl w:val="0"/>
          <w:numId w:val="15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6F046AFD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>; v případě změny Oprávněné 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2C6184">
      <w:pPr>
        <w:pStyle w:val="Nadpis2"/>
        <w:spacing w:line="276" w:lineRule="auto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3A608F38" w14:textId="248506C2" w:rsidR="00FA0A5B" w:rsidRPr="006F4B46" w:rsidRDefault="00FA0A5B" w:rsidP="00FA0A5B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Pokud Zhotovitel kdykoliv v průběhu trvání Smlouvy přestane splňovat Požadavky na provozování služeb (kterýkoliv z požadavků dle čl. 10.1.1. až čl. 10.1.13), je povinen zaplatit smluvní pokutu ve výši 250</w:t>
      </w:r>
      <w:r w:rsidR="00C45855">
        <w:rPr>
          <w:rFonts w:ascii="Verdana" w:eastAsia="Calibri" w:hAnsi="Verdana"/>
        </w:rPr>
        <w:t>.</w:t>
      </w:r>
      <w:r>
        <w:rPr>
          <w:rFonts w:ascii="Verdana" w:eastAsia="Calibri" w:hAnsi="Verdana"/>
        </w:rPr>
        <w:t>000 Kč za každé jednotlivé porušení.</w:t>
      </w:r>
    </w:p>
    <w:p w14:paraId="57A1E2DD" w14:textId="40D1D0FC" w:rsidR="0044437A" w:rsidRPr="00D751B0" w:rsidRDefault="0044437A" w:rsidP="0044437A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78891112" w14:textId="66E387B6" w:rsidR="0044437A" w:rsidRPr="00E91DB0" w:rsidRDefault="00CC7BF9" w:rsidP="0044437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Pokud Objednatel zjistí, že Zhotovitel</w:t>
      </w:r>
      <w:r w:rsidR="00823CC6">
        <w:rPr>
          <w:rFonts w:ascii="Verdana" w:eastAsia="Calibri" w:hAnsi="Verdana"/>
        </w:rPr>
        <w:t xml:space="preserve"> neplní </w:t>
      </w:r>
      <w:r>
        <w:rPr>
          <w:rFonts w:ascii="Verdana" w:eastAsia="Calibri" w:hAnsi="Verdana"/>
        </w:rPr>
        <w:t xml:space="preserve">Požadavky na provozování služeb (kterýkoliv z požadavků dle čl. 10.1.1. až čl. 10.1.13), je oprávněn odstoupit od Smlouvy, a </w:t>
      </w:r>
      <w:proofErr w:type="gramStart"/>
      <w:r>
        <w:rPr>
          <w:rFonts w:ascii="Verdana" w:eastAsia="Calibri" w:hAnsi="Verdana"/>
        </w:rPr>
        <w:t>to</w:t>
      </w:r>
      <w:proofErr w:type="gramEnd"/>
      <w:r>
        <w:rPr>
          <w:rFonts w:ascii="Verdana" w:eastAsia="Calibri" w:hAnsi="Verdana"/>
        </w:rPr>
        <w:t xml:space="preserve"> jestliže Zhotovitele prokazatelně vyzval k nápravě a poskytl mu lhůtu ke splnění Požadavků na provozování služeb v délce alespoň 2 měsíců.</w:t>
      </w:r>
      <w:r w:rsidR="00823CC6">
        <w:rPr>
          <w:rFonts w:ascii="Verdana" w:eastAsia="Calibri" w:hAnsi="Verdana"/>
        </w:rPr>
        <w:t xml:space="preserve"> Po marném uplynutí lhůty dle předchozí věty je Objednatel</w:t>
      </w:r>
      <w:r w:rsidR="00F41854">
        <w:rPr>
          <w:rFonts w:ascii="Verdana" w:eastAsia="Calibri" w:hAnsi="Verdana"/>
        </w:rPr>
        <w:t xml:space="preserve"> </w:t>
      </w:r>
      <w:r w:rsidR="00823CC6">
        <w:rPr>
          <w:rFonts w:ascii="Verdana" w:eastAsia="Calibri" w:hAnsi="Verdana"/>
        </w:rPr>
        <w:t xml:space="preserve">oprávněn odstoupit </w:t>
      </w:r>
      <w:r w:rsidR="006864D8">
        <w:rPr>
          <w:rFonts w:ascii="Verdana" w:eastAsia="Calibri" w:hAnsi="Verdana"/>
        </w:rPr>
        <w:t xml:space="preserve">od </w:t>
      </w:r>
      <w:r w:rsidR="00823CC6">
        <w:rPr>
          <w:rFonts w:ascii="Verdana" w:eastAsia="Calibri" w:hAnsi="Verdana"/>
        </w:rPr>
        <w:t>Smlouvy.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612B1E37" w14:textId="57CFC086" w:rsidR="00E761CF" w:rsidRDefault="004436E2" w:rsidP="00E761CF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> zachovávání 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Pr="00EE2D0D">
        <w:rPr>
          <w:rFonts w:ascii="Verdana" w:eastAsia="Calibri" w:hAnsi="Verdana"/>
        </w:rPr>
        <w:t>.</w:t>
      </w:r>
    </w:p>
    <w:p w14:paraId="5819AD8B" w14:textId="4B975EC4" w:rsidR="00EB6613" w:rsidRDefault="00C91551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považuje za Významného dodavatele</w:t>
      </w:r>
      <w:r w:rsidR="00164EED">
        <w:rPr>
          <w:rFonts w:ascii="Verdana" w:eastAsia="Calibri" w:hAnsi="Verdana"/>
        </w:rPr>
        <w:t xml:space="preserve"> dle odst. 1.68 ZOP</w:t>
      </w:r>
      <w:r w:rsidR="00EB6613" w:rsidRPr="006A2758">
        <w:rPr>
          <w:rFonts w:ascii="Verdana" w:eastAsia="Calibri" w:hAnsi="Verdana"/>
        </w:rPr>
        <w:t>.</w:t>
      </w:r>
    </w:p>
    <w:p w14:paraId="7895E888" w14:textId="0E228B0E" w:rsidR="000E13E4" w:rsidRDefault="000E13E4" w:rsidP="000E13E4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V případě předčasného ukončení Smlouvy je Zhotovitel povinen provádět Dílo </w:t>
      </w:r>
      <w:r w:rsidR="001643AD">
        <w:rPr>
          <w:rFonts w:ascii="Verdana" w:eastAsia="Calibri" w:hAnsi="Verdana"/>
        </w:rPr>
        <w:t xml:space="preserve">v souladu s touto Smlouvou a všemi Požadavky za ujednanou úplatu </w:t>
      </w:r>
      <w:r>
        <w:rPr>
          <w:rFonts w:ascii="Verdana" w:eastAsia="Calibri" w:hAnsi="Verdana"/>
        </w:rPr>
        <w:t>po dobu 6 měsíců ode dne předčasného ukončení Smlouvy, nebo do dne</w:t>
      </w:r>
      <w:r w:rsidR="001643AD">
        <w:rPr>
          <w:rFonts w:ascii="Verdana" w:eastAsia="Calibri" w:hAnsi="Verdana"/>
        </w:rPr>
        <w:t>, kdy mělo skončit</w:t>
      </w:r>
      <w:r>
        <w:rPr>
          <w:rFonts w:ascii="Verdana" w:eastAsia="Calibri" w:hAnsi="Verdana"/>
        </w:rPr>
        <w:t xml:space="preserve"> původně sjednané trvání Smlouvy</w:t>
      </w:r>
      <w:r w:rsidR="001643AD">
        <w:rPr>
          <w:rFonts w:ascii="Verdana" w:eastAsia="Calibri" w:hAnsi="Verdana"/>
        </w:rPr>
        <w:t>, nebo do dne, kdy Objednatel Zhotoviteli oznámí, že má Zhotovitel ukončit provádění Díla,</w:t>
      </w:r>
      <w:r>
        <w:rPr>
          <w:rFonts w:ascii="Verdana" w:eastAsia="Calibri" w:hAnsi="Verdana"/>
        </w:rPr>
        <w:t xml:space="preserve"> podle toho, který</w:t>
      </w:r>
      <w:r w:rsidR="001643AD">
        <w:rPr>
          <w:rFonts w:ascii="Verdana" w:eastAsia="Calibri" w:hAnsi="Verdana"/>
        </w:rPr>
        <w:t xml:space="preserve"> z uvedených</w:t>
      </w:r>
      <w:r>
        <w:rPr>
          <w:rFonts w:ascii="Verdana" w:eastAsia="Calibri" w:hAnsi="Verdana"/>
        </w:rPr>
        <w:t xml:space="preserve"> d</w:t>
      </w:r>
      <w:r w:rsidR="001643AD">
        <w:rPr>
          <w:rFonts w:ascii="Verdana" w:eastAsia="Calibri" w:hAnsi="Verdana"/>
        </w:rPr>
        <w:t>nů</w:t>
      </w:r>
      <w:r>
        <w:rPr>
          <w:rFonts w:ascii="Verdana" w:eastAsia="Calibri" w:hAnsi="Verdana"/>
        </w:rPr>
        <w:t xml:space="preserve"> nastane dříve</w:t>
      </w:r>
      <w:r w:rsidRPr="006A2758">
        <w:rPr>
          <w:rFonts w:ascii="Verdana" w:eastAsia="Calibri" w:hAnsi="Verdana"/>
        </w:rPr>
        <w:t>.</w:t>
      </w:r>
    </w:p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lastRenderedPageBreak/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„Zákon o střetu zájmů“)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0328D1">
      <w:pPr>
        <w:pStyle w:val="Nadpis3"/>
        <w:contextualSpacing w:val="0"/>
        <w:rPr>
          <w:rFonts w:eastAsia="Calibri"/>
        </w:rPr>
      </w:pPr>
      <w:r w:rsidRPr="00BB098A">
        <w:rPr>
          <w:rFonts w:eastAsia="Calibri"/>
        </w:rPr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rPr>
          <w:rFonts w:eastAsia="Calibri"/>
        </w:rPr>
        <w:t>.</w:t>
      </w:r>
      <w:r w:rsidRPr="00BB098A">
        <w:rPr>
          <w:rFonts w:eastAsia="Calibri"/>
        </w:rPr>
        <w:t xml:space="preserve"> 7</w:t>
      </w:r>
      <w:r w:rsidR="00460559">
        <w:rPr>
          <w:rFonts w:eastAsia="Calibri"/>
        </w:rPr>
        <w:t xml:space="preserve"> písm. a) až d), článku</w:t>
      </w:r>
      <w:r w:rsidRPr="00BB098A">
        <w:rPr>
          <w:rFonts w:eastAsia="Calibri"/>
        </w:rPr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rPr>
          <w:rFonts w:eastAsia="Calibri"/>
        </w:rPr>
        <w:t xml:space="preserve">S </w:t>
      </w:r>
      <w:r w:rsidR="00460559">
        <w:t>a hlavy VII nařízení Evropského parlamentu a Rady (EU, Euratom) 2018/1046</w:t>
      </w:r>
      <w:r w:rsidRPr="00BB098A">
        <w:rPr>
          <w:rFonts w:eastAsia="Calibri"/>
        </w:rPr>
        <w:t xml:space="preserve">, </w:t>
      </w:r>
    </w:p>
    <w:p w14:paraId="3F189517" w14:textId="4ACEB8F1" w:rsidR="00783037" w:rsidRPr="00BB098A" w:rsidRDefault="00783037" w:rsidP="00BB098A">
      <w:pPr>
        <w:pStyle w:val="Nadpis3"/>
        <w:contextualSpacing w:val="0"/>
        <w:rPr>
          <w:rFonts w:eastAsia="Calibri"/>
        </w:rPr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20BBEFB3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78D3678A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.4. </w:t>
      </w:r>
      <w:r w:rsidRPr="00BB098A">
        <w:rPr>
          <w:rFonts w:ascii="Verdana" w:eastAsia="Calibri" w:hAnsi="Verdana"/>
        </w:rPr>
        <w:lastRenderedPageBreak/>
        <w:t xml:space="preserve">nebo povinnosti dle odstavců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.5 nebo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7597C6B7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>
        <w:t>19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AAF48EC" w14:textId="77777777" w:rsidR="00657280" w:rsidRPr="00657280" w:rsidRDefault="00657280" w:rsidP="00657280">
      <w:pPr>
        <w:rPr>
          <w:lang w:eastAsia="cs-CZ"/>
        </w:rPr>
      </w:pPr>
      <w:bookmarkStart w:id="53" w:name="_GoBack"/>
      <w:bookmarkEnd w:id="53"/>
    </w:p>
    <w:p w14:paraId="11800CD0" w14:textId="6601AADB" w:rsidR="001D7A7C" w:rsidRDefault="00707411" w:rsidP="001D7A7C">
      <w:pPr>
        <w:pStyle w:val="Nadpis1"/>
        <w:rPr>
          <w:lang w:eastAsia="cs-CZ"/>
        </w:rPr>
      </w:pPr>
      <w:r>
        <w:rPr>
          <w:lang w:eastAsia="cs-CZ"/>
        </w:rPr>
        <w:lastRenderedPageBreak/>
        <w:t>Změna dodavatele</w:t>
      </w:r>
    </w:p>
    <w:p w14:paraId="6904775C" w14:textId="14C56123" w:rsidR="00707411" w:rsidRDefault="00707411" w:rsidP="00B1289B">
      <w:pPr>
        <w:pStyle w:val="Nadpis2"/>
        <w:spacing w:line="276" w:lineRule="auto"/>
      </w:pPr>
      <w:r w:rsidRPr="005A41F5">
        <w:t xml:space="preserve">Pro účely tohoto ustanovení Smlouvy se dodavatelem či </w:t>
      </w:r>
      <w:r>
        <w:t>Zhotovitelem</w:t>
      </w:r>
      <w:r w:rsidRPr="005A41F5">
        <w:t xml:space="preserve"> rozumí subjekt či subjekty, s nimiž </w:t>
      </w:r>
      <w:r>
        <w:t>Objednatel</w:t>
      </w:r>
      <w:r w:rsidRPr="005A41F5">
        <w:t xml:space="preserve"> jakožto zadavatel uzavřel Smlouvu na plnění veřejné zakázky.</w:t>
      </w:r>
    </w:p>
    <w:p w14:paraId="732C4A50" w14:textId="5D4BFC9F" w:rsidR="00707411" w:rsidRDefault="00707411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 xml:space="preserve">Změna dodavatele v případě ukončení Smlouvy uzavřené </w:t>
      </w:r>
      <w:r w:rsidR="0044437A">
        <w:rPr>
          <w:rFonts w:eastAsia="Calibri"/>
        </w:rPr>
        <w:t>s</w:t>
      </w:r>
      <w:r>
        <w:rPr>
          <w:rFonts w:eastAsia="Calibri"/>
        </w:rPr>
        <w:t> vybraným dodavatelem</w:t>
      </w:r>
      <w:r w:rsidR="00284A03">
        <w:rPr>
          <w:rFonts w:eastAsia="Calibri"/>
        </w:rPr>
        <w:t>:</w:t>
      </w:r>
    </w:p>
    <w:p w14:paraId="0E22ECF7" w14:textId="1DC4420B" w:rsidR="00707411" w:rsidRDefault="00707411" w:rsidP="00B1289B">
      <w:pPr>
        <w:pStyle w:val="Nadpis3"/>
        <w:rPr>
          <w:rFonts w:eastAsia="Calibri"/>
        </w:rPr>
      </w:pPr>
      <w:r>
        <w:rPr>
          <w:rFonts w:eastAsia="Calibri"/>
        </w:rPr>
        <w:t>Objednatel si dle § 100 odst. 2 ZZVZ vyhrazuje právo změnit dodavatele</w:t>
      </w:r>
      <w:r w:rsidR="003F069A">
        <w:rPr>
          <w:rFonts w:eastAsia="Calibri"/>
        </w:rPr>
        <w:t xml:space="preserve">, tj. </w:t>
      </w:r>
      <w:r w:rsidR="00073970">
        <w:rPr>
          <w:rFonts w:eastAsia="Calibri"/>
        </w:rPr>
        <w:t>Z</w:t>
      </w:r>
      <w:r w:rsidR="003F069A">
        <w:rPr>
          <w:rFonts w:eastAsia="Calibri"/>
        </w:rPr>
        <w:t>hotovitele,</w:t>
      </w:r>
      <w:r>
        <w:rPr>
          <w:rFonts w:eastAsia="Calibri"/>
        </w:rPr>
        <w:t xml:space="preserve"> v průběhu plnění Smlouvy, a to v případě, že Smlouva bude </w:t>
      </w:r>
      <w:r w:rsidR="0044437A">
        <w:rPr>
          <w:rFonts w:eastAsia="Calibri"/>
        </w:rPr>
        <w:t>ukončena</w:t>
      </w:r>
      <w:r>
        <w:rPr>
          <w:rFonts w:eastAsia="Calibri"/>
        </w:rPr>
        <w:t xml:space="preserve"> některý</w:t>
      </w:r>
      <w:r w:rsidR="003F069A">
        <w:rPr>
          <w:rFonts w:eastAsia="Calibri"/>
        </w:rPr>
        <w:t>m</w:t>
      </w:r>
      <w:r>
        <w:rPr>
          <w:rFonts w:eastAsia="Calibri"/>
        </w:rPr>
        <w:t xml:space="preserve"> z níže uvedených způsobů:</w:t>
      </w:r>
    </w:p>
    <w:p w14:paraId="26B10AA9" w14:textId="31366662" w:rsidR="00707411" w:rsidRDefault="00707411" w:rsidP="00C24829">
      <w:pPr>
        <w:pStyle w:val="Odstavecseseznamem"/>
        <w:numPr>
          <w:ilvl w:val="0"/>
          <w:numId w:val="43"/>
        </w:numPr>
        <w:spacing w:after="120" w:line="276" w:lineRule="auto"/>
        <w:ind w:left="1702" w:hanging="284"/>
        <w:contextualSpacing w:val="0"/>
        <w:jc w:val="both"/>
        <w:rPr>
          <w:lang w:eastAsia="cs-CZ"/>
        </w:rPr>
      </w:pPr>
      <w:r w:rsidRPr="00707411">
        <w:rPr>
          <w:lang w:eastAsia="cs-CZ"/>
        </w:rPr>
        <w:t xml:space="preserve">odstoupením </w:t>
      </w:r>
      <w:r w:rsidR="00284A03">
        <w:rPr>
          <w:lang w:eastAsia="cs-CZ"/>
        </w:rPr>
        <w:t>Objednatele</w:t>
      </w:r>
      <w:r w:rsidR="00284A03" w:rsidRPr="00707411">
        <w:rPr>
          <w:lang w:eastAsia="cs-CZ"/>
        </w:rPr>
        <w:t xml:space="preserve"> </w:t>
      </w:r>
      <w:r w:rsidRPr="00707411">
        <w:rPr>
          <w:lang w:eastAsia="cs-CZ"/>
        </w:rPr>
        <w:t xml:space="preserve">od </w:t>
      </w:r>
      <w:r w:rsidR="00284A03">
        <w:rPr>
          <w:lang w:eastAsia="cs-CZ"/>
        </w:rPr>
        <w:t>S</w:t>
      </w:r>
      <w:r w:rsidRPr="00707411">
        <w:rPr>
          <w:lang w:eastAsia="cs-CZ"/>
        </w:rPr>
        <w:t xml:space="preserve">mlouvy či její výpovědi pro porušení či porušování práv a povinností druhé </w:t>
      </w:r>
      <w:r w:rsidR="00284A03">
        <w:rPr>
          <w:lang w:eastAsia="cs-CZ"/>
        </w:rPr>
        <w:t>S</w:t>
      </w:r>
      <w:r w:rsidRPr="00707411">
        <w:rPr>
          <w:lang w:eastAsia="cs-CZ"/>
        </w:rPr>
        <w:t>trany z důvodů vymezených ve smlouvě či v právních předpisech</w:t>
      </w:r>
      <w:r>
        <w:rPr>
          <w:lang w:eastAsia="cs-CZ"/>
        </w:rPr>
        <w:t>,</w:t>
      </w:r>
    </w:p>
    <w:p w14:paraId="576A6283" w14:textId="6717A032" w:rsidR="00707411" w:rsidRDefault="00707411" w:rsidP="00C24829">
      <w:pPr>
        <w:pStyle w:val="Odstavecseseznamem"/>
        <w:numPr>
          <w:ilvl w:val="0"/>
          <w:numId w:val="43"/>
        </w:numPr>
        <w:spacing w:after="120" w:line="276" w:lineRule="auto"/>
        <w:ind w:left="1702" w:hanging="284"/>
        <w:contextualSpacing w:val="0"/>
        <w:jc w:val="both"/>
        <w:rPr>
          <w:lang w:eastAsia="cs-CZ"/>
        </w:rPr>
      </w:pPr>
      <w:r>
        <w:t xml:space="preserve">odstoupením od </w:t>
      </w:r>
      <w:r w:rsidR="00284A03">
        <w:t>S</w:t>
      </w:r>
      <w:r>
        <w:t>mlouvy nebo její výpovědí z důvodů dle § 223 ZZVZ,</w:t>
      </w:r>
    </w:p>
    <w:p w14:paraId="3CA8FEF2" w14:textId="7A1E58F6" w:rsidR="00707411" w:rsidRDefault="00707411" w:rsidP="00C24829">
      <w:pPr>
        <w:pStyle w:val="Odstavecseseznamem"/>
        <w:numPr>
          <w:ilvl w:val="0"/>
          <w:numId w:val="43"/>
        </w:numPr>
        <w:spacing w:after="120" w:line="276" w:lineRule="auto"/>
        <w:ind w:left="1702" w:hanging="284"/>
        <w:contextualSpacing w:val="0"/>
        <w:jc w:val="both"/>
        <w:rPr>
          <w:lang w:eastAsia="cs-CZ"/>
        </w:rPr>
      </w:pPr>
      <w:r>
        <w:t xml:space="preserve">zánikem </w:t>
      </w:r>
      <w:r w:rsidR="00284A03">
        <w:t>Zhotovitele</w:t>
      </w:r>
      <w:r>
        <w:t xml:space="preserve"> bez právního nástupce,</w:t>
      </w:r>
    </w:p>
    <w:p w14:paraId="7947C89B" w14:textId="49FDAC22" w:rsidR="00073970" w:rsidRDefault="00073970" w:rsidP="00C24829">
      <w:pPr>
        <w:pStyle w:val="Odstavecseseznamem"/>
        <w:numPr>
          <w:ilvl w:val="0"/>
          <w:numId w:val="43"/>
        </w:numPr>
        <w:spacing w:after="120" w:line="276" w:lineRule="auto"/>
        <w:ind w:left="1702" w:hanging="284"/>
        <w:contextualSpacing w:val="0"/>
        <w:jc w:val="both"/>
        <w:rPr>
          <w:lang w:eastAsia="cs-CZ"/>
        </w:rPr>
      </w:pPr>
      <w:r>
        <w:t>na základě dohody Objednatele a Zhotovitele,</w:t>
      </w:r>
    </w:p>
    <w:p w14:paraId="3A302996" w14:textId="34127F5F" w:rsidR="00707411" w:rsidRDefault="00707411" w:rsidP="00C24829">
      <w:pPr>
        <w:pStyle w:val="Odstavecseseznamem"/>
        <w:numPr>
          <w:ilvl w:val="0"/>
          <w:numId w:val="43"/>
        </w:numPr>
        <w:spacing w:after="120" w:line="276" w:lineRule="auto"/>
        <w:ind w:left="1702" w:hanging="284"/>
        <w:contextualSpacing w:val="0"/>
        <w:jc w:val="both"/>
        <w:rPr>
          <w:lang w:eastAsia="cs-CZ"/>
        </w:rPr>
      </w:pPr>
      <w:r>
        <w:t>v případě zániku účasti některého z</w:t>
      </w:r>
      <w:r w:rsidR="003F069A">
        <w:t> </w:t>
      </w:r>
      <w:r>
        <w:t>dodavatelů</w:t>
      </w:r>
      <w:r w:rsidR="003F069A">
        <w:t>, resp. Zhotovitelů,</w:t>
      </w:r>
      <w:r>
        <w:t xml:space="preserve"> v případě společné účast</w:t>
      </w:r>
      <w:r w:rsidR="00284A03">
        <w:t>i</w:t>
      </w:r>
      <w:r>
        <w:t xml:space="preserve"> dodavatelů dle § 82 ZZVZ, pokud zbývající dodavatelé</w:t>
      </w:r>
      <w:r w:rsidR="003F069A">
        <w:t>, resp. Zhotovitelé,</w:t>
      </w:r>
      <w:r>
        <w:t xml:space="preserve"> </w:t>
      </w:r>
      <w:r w:rsidR="003F069A">
        <w:t xml:space="preserve">nebudou splňovat kritéria kvalifikace stanovená v Zadávacím řízení nebo </w:t>
      </w:r>
      <w:r>
        <w:t xml:space="preserve">nepřevezmou práva a povinnosti ze </w:t>
      </w:r>
      <w:r w:rsidR="003F069A">
        <w:t>S</w:t>
      </w:r>
      <w:r>
        <w:t>mlouvy v plném rozsahu.</w:t>
      </w:r>
    </w:p>
    <w:p w14:paraId="4831A68D" w14:textId="7574E68C" w:rsidR="00707411" w:rsidRDefault="00707411" w:rsidP="00707411">
      <w:pPr>
        <w:pStyle w:val="Nadpis2"/>
        <w:rPr>
          <w:rFonts w:eastAsia="Calibri"/>
        </w:rPr>
      </w:pPr>
      <w:r>
        <w:rPr>
          <w:rFonts w:eastAsia="Calibri"/>
        </w:rPr>
        <w:t xml:space="preserve">Postup při změně </w:t>
      </w:r>
      <w:r w:rsidR="00284A03">
        <w:rPr>
          <w:rFonts w:eastAsia="Calibri"/>
        </w:rPr>
        <w:t>Zhotovitele:</w:t>
      </w:r>
    </w:p>
    <w:p w14:paraId="0C23A6DB" w14:textId="59C5C3C3" w:rsidR="00707411" w:rsidRDefault="00707411" w:rsidP="00CB5470">
      <w:pPr>
        <w:pStyle w:val="Nadpis3"/>
        <w:contextualSpacing w:val="0"/>
        <w:rPr>
          <w:rFonts w:eastAsia="Calibri"/>
        </w:rPr>
      </w:pPr>
      <w:r>
        <w:rPr>
          <w:rFonts w:eastAsia="Calibri"/>
        </w:rPr>
        <w:t xml:space="preserve">V případě ukončení </w:t>
      </w:r>
      <w:r w:rsidR="00284A03">
        <w:rPr>
          <w:rFonts w:eastAsia="Calibri"/>
        </w:rPr>
        <w:t>S</w:t>
      </w:r>
      <w:r>
        <w:rPr>
          <w:rFonts w:eastAsia="Calibri"/>
        </w:rPr>
        <w:t>mlouvy se Zhotovitelem</w:t>
      </w:r>
      <w:r w:rsidR="00284A03">
        <w:rPr>
          <w:rFonts w:eastAsia="Calibri"/>
        </w:rPr>
        <w:t xml:space="preserve"> (z důvodů uvedených v čl. 20.2.1 této Smlouvy)</w:t>
      </w:r>
      <w:r>
        <w:rPr>
          <w:rFonts w:eastAsia="Calibri"/>
        </w:rPr>
        <w:t xml:space="preserve"> je Objednatel oprávněn vyzvat</w:t>
      </w:r>
      <w:r w:rsidR="00073970">
        <w:rPr>
          <w:rFonts w:eastAsia="Calibri"/>
        </w:rPr>
        <w:t xml:space="preserve"> </w:t>
      </w:r>
      <w:r>
        <w:rPr>
          <w:rFonts w:eastAsia="Calibri"/>
        </w:rPr>
        <w:t>k uzavření Smlouvy dalšího účastníka zadávacího řízení, jehož nabídka byla</w:t>
      </w:r>
      <w:r w:rsidR="00021195">
        <w:rPr>
          <w:rFonts w:eastAsia="Calibri"/>
        </w:rPr>
        <w:tab/>
      </w:r>
      <w:r>
        <w:rPr>
          <w:rFonts w:eastAsia="Calibri"/>
        </w:rPr>
        <w:t>v </w:t>
      </w:r>
      <w:r w:rsidR="003F069A">
        <w:rPr>
          <w:rFonts w:eastAsia="Calibri"/>
        </w:rPr>
        <w:t>Z</w:t>
      </w:r>
      <w:r>
        <w:rPr>
          <w:rFonts w:eastAsia="Calibri"/>
        </w:rPr>
        <w:t xml:space="preserve">adávacím řízení hodnocena jako druhá v pořadí. </w:t>
      </w:r>
      <w:r w:rsidR="00021195">
        <w:rPr>
          <w:rFonts w:eastAsia="Calibri"/>
        </w:rPr>
        <w:t>Objednatel</w:t>
      </w:r>
      <w:r>
        <w:rPr>
          <w:rFonts w:eastAsia="Calibri"/>
        </w:rPr>
        <w:t xml:space="preserve"> nebude provádět </w:t>
      </w:r>
      <w:r w:rsidR="00021195">
        <w:rPr>
          <w:rFonts w:eastAsia="Calibri"/>
        </w:rPr>
        <w:tab/>
      </w:r>
      <w:r>
        <w:rPr>
          <w:rFonts w:eastAsia="Calibri"/>
        </w:rPr>
        <w:t xml:space="preserve">nové hodnocení nabídek, </w:t>
      </w:r>
      <w:r w:rsidR="00021195">
        <w:rPr>
          <w:rFonts w:eastAsia="Calibri"/>
        </w:rPr>
        <w:t>a</w:t>
      </w:r>
      <w:r>
        <w:rPr>
          <w:rFonts w:eastAsia="Calibri"/>
        </w:rPr>
        <w:t>le bude vycházet z pořadí nabídek, které bylo provedeno v </w:t>
      </w:r>
      <w:r w:rsidR="00284A03">
        <w:rPr>
          <w:rFonts w:eastAsia="Calibri"/>
        </w:rPr>
        <w:t>Z</w:t>
      </w:r>
      <w:r>
        <w:rPr>
          <w:rFonts w:eastAsia="Calibri"/>
        </w:rPr>
        <w:t>ad</w:t>
      </w:r>
      <w:r w:rsidR="00021195">
        <w:rPr>
          <w:rFonts w:eastAsia="Calibri"/>
        </w:rPr>
        <w:t>á</w:t>
      </w:r>
      <w:r>
        <w:rPr>
          <w:rFonts w:eastAsia="Calibri"/>
        </w:rPr>
        <w:t xml:space="preserve">vacím řízení. </w:t>
      </w:r>
      <w:r w:rsidR="00021195">
        <w:rPr>
          <w:rFonts w:eastAsia="Calibri"/>
        </w:rPr>
        <w:t>Objednatel však provede posouzení splnění podmínek účasti, pokud tak neučinil v </w:t>
      </w:r>
      <w:r w:rsidR="00284A03">
        <w:rPr>
          <w:rFonts w:eastAsia="Calibri"/>
        </w:rPr>
        <w:t>Z</w:t>
      </w:r>
      <w:r w:rsidR="00021195">
        <w:rPr>
          <w:rFonts w:eastAsia="Calibri"/>
        </w:rPr>
        <w:t xml:space="preserve">adávacím řízení s ohledem na § 39 </w:t>
      </w:r>
      <w:r w:rsidR="00284A03">
        <w:rPr>
          <w:rFonts w:eastAsia="Calibri"/>
        </w:rPr>
        <w:t xml:space="preserve">odst. 4 </w:t>
      </w:r>
      <w:r w:rsidR="00021195">
        <w:rPr>
          <w:rFonts w:eastAsia="Calibri"/>
        </w:rPr>
        <w:t>ZZVZ, a posoudí, zda</w:t>
      </w:r>
      <w:r w:rsidR="00284A03">
        <w:rPr>
          <w:rFonts w:eastAsia="Calibri"/>
        </w:rPr>
        <w:t xml:space="preserve"> u nového </w:t>
      </w:r>
      <w:r w:rsidR="00F469A3">
        <w:rPr>
          <w:rFonts w:eastAsia="Calibri"/>
        </w:rPr>
        <w:t xml:space="preserve">vybraného </w:t>
      </w:r>
      <w:r w:rsidR="00284A03">
        <w:rPr>
          <w:rFonts w:eastAsia="Calibri"/>
        </w:rPr>
        <w:t>dodavatele</w:t>
      </w:r>
      <w:r w:rsidR="003F069A">
        <w:rPr>
          <w:rFonts w:eastAsia="Calibri"/>
        </w:rPr>
        <w:t>, tj. nového zhotovitele,</w:t>
      </w:r>
      <w:r w:rsidR="00021195">
        <w:rPr>
          <w:rFonts w:eastAsia="Calibri"/>
        </w:rPr>
        <w:t xml:space="preserve"> nejsou naplněny povinné důvody pro vyloučení vybraného dodavatele dle §</w:t>
      </w:r>
      <w:r w:rsidR="00073970">
        <w:rPr>
          <w:rFonts w:eastAsia="Calibri"/>
        </w:rPr>
        <w:t> </w:t>
      </w:r>
      <w:r w:rsidR="00021195">
        <w:rPr>
          <w:rFonts w:eastAsia="Calibri"/>
        </w:rPr>
        <w:t xml:space="preserve">48 ZZVZ </w:t>
      </w:r>
      <w:r w:rsidR="00021195" w:rsidRPr="005A41F5">
        <w:t>(dále jen „</w:t>
      </w:r>
      <w:r w:rsidR="00021195" w:rsidRPr="00CB5470">
        <w:rPr>
          <w:b/>
          <w:bCs/>
        </w:rPr>
        <w:t xml:space="preserve">důvody, pro které by nebylo </w:t>
      </w:r>
      <w:r w:rsidR="00021195">
        <w:rPr>
          <w:b/>
          <w:bCs/>
        </w:rPr>
        <w:tab/>
      </w:r>
      <w:r w:rsidR="00021195" w:rsidRPr="00CB5470">
        <w:rPr>
          <w:b/>
          <w:bCs/>
        </w:rPr>
        <w:t>možno uzavřít Smlouvu s druhým v pořadí</w:t>
      </w:r>
      <w:r w:rsidR="00021195" w:rsidRPr="005A41F5">
        <w:t>“</w:t>
      </w:r>
      <w:r w:rsidR="00021195">
        <w:rPr>
          <w:rFonts w:eastAsia="Calibri"/>
        </w:rPr>
        <w:t>).</w:t>
      </w:r>
    </w:p>
    <w:p w14:paraId="58A9EBE0" w14:textId="47F56F1C" w:rsidR="00021195" w:rsidRDefault="00021195" w:rsidP="00021195">
      <w:pPr>
        <w:pStyle w:val="Nadpis3"/>
        <w:contextualSpacing w:val="0"/>
      </w:pPr>
      <w:r w:rsidRPr="005A41F5">
        <w:t xml:space="preserve">Pokud jsou naplněny důvody, pro které by nebylo možno uzavřít Smlouvu s </w:t>
      </w:r>
      <w:r>
        <w:tab/>
      </w:r>
      <w:r w:rsidRPr="005A41F5">
        <w:t xml:space="preserve">druhým v pořadí v </w:t>
      </w:r>
      <w:r w:rsidR="00F469A3">
        <w:t>Z</w:t>
      </w:r>
      <w:r w:rsidRPr="005A41F5">
        <w:t xml:space="preserve">adávacím řízení, případně by druhý v pořadí Smlouvu odmítl uzavřít, může </w:t>
      </w:r>
      <w:r>
        <w:t xml:space="preserve">Objednatel </w:t>
      </w:r>
      <w:r w:rsidRPr="005A41F5">
        <w:t xml:space="preserve">oslovit dalšího účastníka, který se při hodnocení nabídek v </w:t>
      </w:r>
      <w:r w:rsidR="00F469A3">
        <w:t>Z</w:t>
      </w:r>
      <w:r w:rsidRPr="005A41F5">
        <w:t>adávacím řízení umístil jako další v pořadí. Tento postup může být opakován až k účastníkovi, který se umístil jako poslední v pořadí.</w:t>
      </w:r>
    </w:p>
    <w:p w14:paraId="18F57545" w14:textId="6E535B2B" w:rsidR="00F469A3" w:rsidRPr="00F469A3" w:rsidRDefault="00F469A3" w:rsidP="00073970">
      <w:pPr>
        <w:pStyle w:val="Nadpis3"/>
        <w:ind w:left="709" w:hanging="709"/>
        <w:contextualSpacing w:val="0"/>
      </w:pPr>
      <w:r>
        <w:t>Vybraný dodavatel, s nímž má být uzavřena Smlouva, je povinen splnit podmínky uzavření Smlouvy dle § 122 ZZVZ.</w:t>
      </w:r>
    </w:p>
    <w:p w14:paraId="35282AB2" w14:textId="1740B39F" w:rsidR="00021195" w:rsidRDefault="00021195" w:rsidP="00021195">
      <w:pPr>
        <w:pStyle w:val="Nadpis2"/>
        <w:rPr>
          <w:rFonts w:eastAsia="Calibri"/>
        </w:rPr>
      </w:pPr>
      <w:r>
        <w:rPr>
          <w:rFonts w:eastAsia="Calibri"/>
        </w:rPr>
        <w:t>Změna dodavatele v případě společné účasti dodavatelů</w:t>
      </w:r>
      <w:r w:rsidR="00F469A3">
        <w:rPr>
          <w:rFonts w:eastAsia="Calibri"/>
        </w:rPr>
        <w:t>:</w:t>
      </w:r>
    </w:p>
    <w:p w14:paraId="4B2FB8BB" w14:textId="50F286C1" w:rsidR="00021195" w:rsidRDefault="00021195" w:rsidP="00021195">
      <w:pPr>
        <w:pStyle w:val="Nadpis3"/>
        <w:contextualSpacing w:val="0"/>
        <w:rPr>
          <w:rFonts w:eastAsia="Calibri"/>
        </w:rPr>
      </w:pPr>
      <w:r w:rsidRPr="00021195">
        <w:rPr>
          <w:rFonts w:eastAsia="Calibri"/>
        </w:rPr>
        <w:t>V případě zániku účasti některého z</w:t>
      </w:r>
      <w:r>
        <w:rPr>
          <w:rFonts w:eastAsia="Calibri"/>
        </w:rPr>
        <w:t>e Zhotovitelů</w:t>
      </w:r>
      <w:r w:rsidRPr="00021195">
        <w:rPr>
          <w:rFonts w:eastAsia="Calibri"/>
        </w:rPr>
        <w:t xml:space="preserve"> v případě společné účasti dodavatelů dle § 82 ZZVZ je </w:t>
      </w:r>
      <w:r>
        <w:rPr>
          <w:rFonts w:eastAsia="Calibri"/>
        </w:rPr>
        <w:t>Objednatel</w:t>
      </w:r>
      <w:r w:rsidRPr="00021195">
        <w:rPr>
          <w:rFonts w:eastAsia="Calibri"/>
        </w:rPr>
        <w:t xml:space="preserve"> oprávněn uzavřít Smlouvu se zbývajícími </w:t>
      </w:r>
      <w:r>
        <w:rPr>
          <w:rFonts w:eastAsia="Calibri"/>
        </w:rPr>
        <w:t>Zhotoviteli</w:t>
      </w:r>
      <w:r w:rsidRPr="00021195">
        <w:rPr>
          <w:rFonts w:eastAsia="Calibri"/>
        </w:rPr>
        <w:t xml:space="preserve">, pokud zbývající </w:t>
      </w:r>
      <w:r>
        <w:rPr>
          <w:rFonts w:eastAsia="Calibri"/>
        </w:rPr>
        <w:t>Zhotovitelé</w:t>
      </w:r>
      <w:r w:rsidRPr="00021195">
        <w:rPr>
          <w:rFonts w:eastAsia="Calibri"/>
        </w:rPr>
        <w:t xml:space="preserve"> </w:t>
      </w:r>
      <w:r w:rsidR="00DF5104">
        <w:rPr>
          <w:rFonts w:eastAsia="Calibri"/>
        </w:rPr>
        <w:t xml:space="preserve">budou nadále splňovat kritéria kvalifikace stanovená v Zadávacím řízení a </w:t>
      </w:r>
      <w:r w:rsidRPr="00021195">
        <w:rPr>
          <w:rFonts w:eastAsia="Calibri"/>
        </w:rPr>
        <w:t>převezmou práva a povinnosti ze Smlouvy v plném rozsahu.</w:t>
      </w:r>
    </w:p>
    <w:p w14:paraId="6AF7CD13" w14:textId="406F5BCB" w:rsidR="00DF5104" w:rsidRPr="00073970" w:rsidRDefault="00DF5104" w:rsidP="00073970">
      <w:pPr>
        <w:pStyle w:val="Nadpis3"/>
        <w:contextualSpacing w:val="0"/>
        <w:rPr>
          <w:rFonts w:eastAsia="Calibri"/>
        </w:rPr>
      </w:pPr>
      <w:r w:rsidRPr="00DF5104">
        <w:rPr>
          <w:rFonts w:eastAsia="Calibri"/>
        </w:rPr>
        <w:t xml:space="preserve">Pokud zbývající </w:t>
      </w:r>
      <w:r>
        <w:rPr>
          <w:rFonts w:eastAsia="Calibri"/>
        </w:rPr>
        <w:t>Zhotovitelé</w:t>
      </w:r>
      <w:r w:rsidRPr="00DF5104">
        <w:rPr>
          <w:rFonts w:eastAsia="Calibri"/>
        </w:rPr>
        <w:t xml:space="preserve"> nebudou splňovat kritéria kvalifikace stanovená </w:t>
      </w:r>
      <w:r>
        <w:rPr>
          <w:rFonts w:eastAsia="Calibri"/>
        </w:rPr>
        <w:t xml:space="preserve">v Zadávacím řízení </w:t>
      </w:r>
      <w:r w:rsidRPr="00DF5104">
        <w:rPr>
          <w:rFonts w:eastAsia="Calibri"/>
        </w:rPr>
        <w:t xml:space="preserve">nebo nepřevezmou práva a povinnosti ze </w:t>
      </w:r>
      <w:r>
        <w:rPr>
          <w:rFonts w:eastAsia="Calibri"/>
        </w:rPr>
        <w:t>S</w:t>
      </w:r>
      <w:r w:rsidRPr="00DF5104">
        <w:rPr>
          <w:rFonts w:eastAsia="Calibri"/>
        </w:rPr>
        <w:t xml:space="preserve">mlouvy v plném rozsahu, bude </w:t>
      </w:r>
      <w:r>
        <w:rPr>
          <w:rFonts w:eastAsia="Calibri"/>
        </w:rPr>
        <w:t>Objednatel</w:t>
      </w:r>
      <w:r w:rsidRPr="00DF5104">
        <w:rPr>
          <w:rFonts w:eastAsia="Calibri"/>
        </w:rPr>
        <w:t xml:space="preserve"> postupovat dle čl. </w:t>
      </w:r>
      <w:r>
        <w:rPr>
          <w:rFonts w:eastAsia="Calibri"/>
        </w:rPr>
        <w:t>20.3</w:t>
      </w:r>
      <w:r w:rsidRPr="00DF5104">
        <w:rPr>
          <w:rFonts w:eastAsia="Calibri"/>
        </w:rPr>
        <w:t xml:space="preserve"> této </w:t>
      </w:r>
      <w:r>
        <w:rPr>
          <w:rFonts w:eastAsia="Calibri"/>
        </w:rPr>
        <w:t>Smlouvy</w:t>
      </w:r>
      <w:r w:rsidRPr="00DF5104">
        <w:rPr>
          <w:rFonts w:eastAsia="Calibri"/>
        </w:rPr>
        <w:t xml:space="preserve">, tj. uzavře </w:t>
      </w:r>
      <w:r>
        <w:rPr>
          <w:rFonts w:eastAsia="Calibri"/>
        </w:rPr>
        <w:t>S</w:t>
      </w:r>
      <w:r w:rsidRPr="00DF5104">
        <w:rPr>
          <w:rFonts w:eastAsia="Calibri"/>
        </w:rPr>
        <w:t xml:space="preserve">mlouvu s druhým (příp. </w:t>
      </w:r>
      <w:r w:rsidRPr="00DF5104">
        <w:rPr>
          <w:rFonts w:eastAsia="Calibri"/>
        </w:rPr>
        <w:lastRenderedPageBreak/>
        <w:t xml:space="preserve">dalším) účastníkem v pořadí dle hodnocení nabídek, které bylo realizováno v </w:t>
      </w:r>
      <w:r>
        <w:rPr>
          <w:rFonts w:eastAsia="Calibri"/>
        </w:rPr>
        <w:t>Z</w:t>
      </w:r>
      <w:r w:rsidRPr="00DF5104">
        <w:rPr>
          <w:rFonts w:eastAsia="Calibri"/>
        </w:rPr>
        <w:t>adávacím řízení.</w:t>
      </w:r>
    </w:p>
    <w:p w14:paraId="37FF181D" w14:textId="4DD04443" w:rsidR="00B1289B" w:rsidRDefault="00B1289B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 xml:space="preserve">V případě změny Zhotovitele výše uvedenými způsoby může dojít k tzv. povoleným změnám Smlouvy, kterými jsou např. změna </w:t>
      </w:r>
      <w:r w:rsidR="00D22516">
        <w:rPr>
          <w:rFonts w:eastAsia="Calibri"/>
        </w:rPr>
        <w:t xml:space="preserve">ve </w:t>
      </w:r>
      <w:r>
        <w:rPr>
          <w:rFonts w:eastAsia="Calibri"/>
        </w:rPr>
        <w:t>složení poddodavatelů, změna údajů vztahujících se k osobě nového zhotovitele (kontaktní osoby, kontaktní údaje apod.).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229B8D77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31.12.2035.</w:t>
      </w:r>
    </w:p>
    <w:p w14:paraId="448EE0A7" w14:textId="0EA110D7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31.12.2035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 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3F13F339" w:rsidR="00073970" w:rsidRP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21.3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</w:t>
      </w:r>
      <w:r w:rsidRPr="00EE2D0D">
        <w:rPr>
          <w:rFonts w:ascii="Verdana" w:eastAsia="Calibri" w:hAnsi="Verdana"/>
        </w:rPr>
        <w:lastRenderedPageBreak/>
        <w:t xml:space="preserve">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25A260B6" w:rsidR="006E6E61" w:rsidRPr="00C24829" w:rsidRDefault="00550FA0" w:rsidP="00C2482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C24829">
        <w:rPr>
          <w:rFonts w:ascii="Verdana" w:hAnsi="Verdana" w:cs="Arial"/>
        </w:rPr>
        <w:t>Specifikace plnění této Smlouvy</w:t>
      </w:r>
      <w:r w:rsidR="00230104" w:rsidRPr="00C24829">
        <w:rPr>
          <w:rFonts w:ascii="Verdana" w:hAnsi="Verdana" w:cs="Arial"/>
        </w:rPr>
        <w:t xml:space="preserve"> (</w:t>
      </w:r>
      <w:r w:rsidR="001C21CA" w:rsidRPr="00C24829">
        <w:rPr>
          <w:rFonts w:ascii="Verdana" w:hAnsi="Verdana" w:cs="Arial"/>
          <w:i/>
          <w:iCs/>
        </w:rPr>
        <w:t>jedná se o</w:t>
      </w:r>
      <w:r w:rsidR="001C21CA" w:rsidRPr="00C24829">
        <w:rPr>
          <w:rFonts w:ascii="Verdana" w:hAnsi="Verdana" w:cs="Arial"/>
        </w:rPr>
        <w:t xml:space="preserve"> </w:t>
      </w:r>
      <w:r w:rsidR="00230104" w:rsidRPr="00C24829">
        <w:rPr>
          <w:rFonts w:ascii="Verdana" w:hAnsi="Verdana" w:cs="Arial"/>
          <w:i/>
          <w:iCs/>
        </w:rPr>
        <w:t>příloh</w:t>
      </w:r>
      <w:r w:rsidR="001C21CA" w:rsidRPr="00C24829">
        <w:rPr>
          <w:rFonts w:ascii="Verdana" w:hAnsi="Verdana" w:cs="Arial"/>
          <w:i/>
          <w:iCs/>
        </w:rPr>
        <w:t>u</w:t>
      </w:r>
      <w:r w:rsidR="00230104" w:rsidRPr="00C24829">
        <w:rPr>
          <w:rFonts w:ascii="Verdana" w:hAnsi="Verdana" w:cs="Arial"/>
          <w:i/>
          <w:iCs/>
        </w:rPr>
        <w:t xml:space="preserve"> č. </w:t>
      </w:r>
      <w:r w:rsidR="0028302E" w:rsidRPr="00C24829">
        <w:rPr>
          <w:rFonts w:ascii="Verdana" w:hAnsi="Verdana" w:cs="Arial"/>
          <w:i/>
          <w:iCs/>
        </w:rPr>
        <w:t>1</w:t>
      </w:r>
      <w:r w:rsidR="00D134AD" w:rsidRPr="00C24829">
        <w:rPr>
          <w:rFonts w:ascii="Verdana" w:hAnsi="Verdana" w:cs="Arial"/>
          <w:i/>
          <w:iCs/>
        </w:rPr>
        <w:t xml:space="preserve"> </w:t>
      </w:r>
      <w:r w:rsidR="0028302E" w:rsidRPr="00C24829">
        <w:rPr>
          <w:rFonts w:ascii="Verdana" w:hAnsi="Verdana" w:cs="Arial"/>
          <w:i/>
          <w:iCs/>
        </w:rPr>
        <w:t>zadávací dokumentace</w:t>
      </w:r>
      <w:r w:rsidR="00230104" w:rsidRPr="00C24829">
        <w:rPr>
          <w:rFonts w:ascii="Verdana" w:hAnsi="Verdana" w:cs="Arial"/>
          <w:i/>
          <w:iCs/>
        </w:rPr>
        <w:t xml:space="preserve"> k Veřejné </w:t>
      </w:r>
      <w:r w:rsidR="00C1357B" w:rsidRPr="00C24829">
        <w:rPr>
          <w:rFonts w:ascii="Verdana" w:hAnsi="Verdana" w:cs="Arial"/>
          <w:i/>
          <w:iCs/>
        </w:rPr>
        <w:t>zakázce – Technická</w:t>
      </w:r>
      <w:r w:rsidR="00D134AD" w:rsidRPr="00C24829">
        <w:rPr>
          <w:rFonts w:ascii="Verdana" w:hAnsi="Verdana" w:cs="Arial"/>
          <w:i/>
          <w:iCs/>
        </w:rPr>
        <w:t xml:space="preserve"> </w:t>
      </w:r>
      <w:r w:rsidR="0028302E" w:rsidRPr="00C24829">
        <w:rPr>
          <w:rFonts w:ascii="Verdana" w:hAnsi="Verdana" w:cs="Arial"/>
          <w:i/>
          <w:iCs/>
        </w:rPr>
        <w:t>specifikace</w:t>
      </w:r>
      <w:r w:rsidR="00230104" w:rsidRPr="00C24829">
        <w:rPr>
          <w:rFonts w:ascii="Verdana" w:hAnsi="Verdana" w:cs="Arial"/>
        </w:rPr>
        <w:t>)</w:t>
      </w:r>
    </w:p>
    <w:p w14:paraId="006CBB1A" w14:textId="49496F4E" w:rsidR="006E6E61" w:rsidRPr="00C24829" w:rsidRDefault="007D63C7" w:rsidP="00C248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C24829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C24829">
        <w:rPr>
          <w:rFonts w:ascii="Verdana" w:eastAsia="Times New Roman" w:hAnsi="Verdana" w:cs="Times New Roman"/>
          <w:lang w:eastAsia="cs-CZ"/>
        </w:rPr>
        <w:t>nabídkové ceny</w:t>
      </w:r>
      <w:r w:rsidR="002E30D8" w:rsidRPr="00C24829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C24829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C24829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28302E">
        <w:rPr>
          <w:rFonts w:ascii="Verdana" w:hAnsi="Verdana" w:cs="Arial"/>
          <w:i/>
          <w:iCs/>
        </w:rPr>
        <w:t>4</w:t>
      </w:r>
      <w:r w:rsidR="002E30D8" w:rsidRPr="00C24829">
        <w:rPr>
          <w:rFonts w:ascii="Verdana" w:hAnsi="Verdana" w:cs="Arial"/>
          <w:i/>
          <w:iCs/>
        </w:rPr>
        <w:t xml:space="preserve"> </w:t>
      </w:r>
      <w:r w:rsidR="0028302E" w:rsidRPr="005E0E1F">
        <w:rPr>
          <w:rFonts w:ascii="Verdana" w:hAnsi="Verdana" w:cs="Arial"/>
          <w:i/>
          <w:iCs/>
        </w:rPr>
        <w:t xml:space="preserve">zadávací dokumentace </w:t>
      </w:r>
      <w:r w:rsidR="002E30D8" w:rsidRPr="00C24829">
        <w:rPr>
          <w:rFonts w:ascii="Verdana" w:hAnsi="Verdana" w:cs="Arial"/>
          <w:i/>
          <w:iCs/>
        </w:rPr>
        <w:t>k</w:t>
      </w:r>
      <w:r w:rsidR="0028302E">
        <w:rPr>
          <w:rFonts w:ascii="Verdana" w:hAnsi="Verdana" w:cs="Arial"/>
          <w:i/>
          <w:iCs/>
        </w:rPr>
        <w:t> </w:t>
      </w:r>
      <w:r w:rsidR="002E30D8" w:rsidRPr="00C24829">
        <w:rPr>
          <w:rFonts w:ascii="Verdana" w:hAnsi="Verdana" w:cs="Arial"/>
          <w:i/>
          <w:iCs/>
        </w:rPr>
        <w:t xml:space="preserve">Veřejné zakázce – </w:t>
      </w:r>
      <w:r w:rsidR="00D13A08" w:rsidRPr="00C24829">
        <w:rPr>
          <w:rFonts w:ascii="Verdana" w:hAnsi="Verdana" w:cs="Arial"/>
          <w:i/>
          <w:iCs/>
        </w:rPr>
        <w:t xml:space="preserve">Formulář pro </w:t>
      </w:r>
      <w:r w:rsidR="0089105D">
        <w:rPr>
          <w:rFonts w:ascii="Verdana" w:hAnsi="Verdana" w:cs="Arial"/>
          <w:i/>
          <w:iCs/>
        </w:rPr>
        <w:t>vyplnění</w:t>
      </w:r>
      <w:r w:rsidR="0089105D" w:rsidRPr="00C24829">
        <w:rPr>
          <w:rFonts w:ascii="Verdana" w:hAnsi="Verdana" w:cs="Arial"/>
          <w:i/>
          <w:iCs/>
        </w:rPr>
        <w:t xml:space="preserve"> </w:t>
      </w:r>
      <w:r w:rsidR="00D13A08" w:rsidRPr="00C24829">
        <w:rPr>
          <w:rFonts w:ascii="Verdana" w:hAnsi="Verdana" w:cs="Arial"/>
          <w:i/>
          <w:iCs/>
        </w:rPr>
        <w:t>nabídkové ceny</w:t>
      </w:r>
      <w:r w:rsidR="00B927AD" w:rsidRPr="00C24829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077D172E" w14:textId="36ECBB52" w:rsidR="006E6E61" w:rsidRPr="00C24829" w:rsidRDefault="004429CF" w:rsidP="00C248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C24829">
        <w:rPr>
          <w:rFonts w:ascii="Verdana" w:eastAsia="Times New Roman" w:hAnsi="Verdana" w:cs="Times New Roman"/>
          <w:lang w:eastAsia="cs-CZ"/>
        </w:rPr>
        <w:lastRenderedPageBreak/>
        <w:t>S</w:t>
      </w:r>
      <w:r w:rsidR="006E6E61" w:rsidRPr="00C24829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C24829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C24829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C24829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C24829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C24829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C24829">
        <w:rPr>
          <w:rFonts w:ascii="Verdana" w:hAnsi="Verdana" w:cs="Arial"/>
          <w:i/>
          <w:iCs/>
        </w:rPr>
        <w:t>č.</w:t>
      </w:r>
      <w:r w:rsidR="006F4B46">
        <w:rPr>
          <w:rFonts w:ascii="Verdana" w:hAnsi="Verdana" w:cs="Arial"/>
          <w:i/>
          <w:iCs/>
        </w:rPr>
        <w:t xml:space="preserve"> 10</w:t>
      </w:r>
      <w:r w:rsidR="00FC123A" w:rsidRPr="00C24829">
        <w:rPr>
          <w:rFonts w:ascii="Verdana" w:hAnsi="Verdana" w:cs="Arial"/>
          <w:i/>
          <w:iCs/>
        </w:rPr>
        <w:t xml:space="preserve"> </w:t>
      </w:r>
      <w:r w:rsidR="00FC123A" w:rsidRPr="005E0E1F">
        <w:rPr>
          <w:rFonts w:ascii="Verdana" w:hAnsi="Verdana" w:cs="Arial"/>
          <w:i/>
          <w:iCs/>
        </w:rPr>
        <w:t>zadávací dokumentace k</w:t>
      </w:r>
      <w:r w:rsidR="00FC123A">
        <w:rPr>
          <w:rFonts w:ascii="Verdana" w:hAnsi="Verdana" w:cs="Arial"/>
          <w:i/>
          <w:iCs/>
        </w:rPr>
        <w:t> </w:t>
      </w:r>
      <w:r w:rsidR="00FC123A" w:rsidRPr="005E0E1F">
        <w:rPr>
          <w:rFonts w:ascii="Verdana" w:hAnsi="Verdana" w:cs="Arial"/>
          <w:i/>
          <w:iCs/>
        </w:rPr>
        <w:t xml:space="preserve">Veřejné zakázce </w:t>
      </w:r>
      <w:r w:rsidR="00CC073B" w:rsidRPr="00C24829">
        <w:rPr>
          <w:rFonts w:ascii="Verdana" w:hAnsi="Verdana" w:cs="Arial"/>
          <w:i/>
          <w:iCs/>
        </w:rPr>
        <w:t>– Seznam poddodavatelů</w:t>
      </w:r>
      <w:r w:rsidR="00AD5895" w:rsidRPr="00C24829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C24829" w:rsidRDefault="0031288F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2E31C0C9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3C388831" w:rsidR="0031288F" w:rsidRPr="00C24829" w:rsidRDefault="0031288F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C24829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53118848" w14:textId="07203460" w:rsidR="009756AA" w:rsidRPr="00C24829" w:rsidRDefault="009756AA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C24829">
        <w:rPr>
          <w:rFonts w:ascii="Verdana" w:eastAsia="Times New Roman" w:hAnsi="Verdana" w:cs="Times New Roman"/>
          <w:lang w:eastAsia="cs-CZ"/>
        </w:rPr>
        <w:t xml:space="preserve">Plná moc </w:t>
      </w:r>
      <w:r w:rsidRPr="00C24829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C24829">
        <w:rPr>
          <w:rFonts w:ascii="Verdana" w:eastAsia="Times New Roman" w:hAnsi="Verdana" w:cs="Times New Roman"/>
          <w:i/>
          <w:iCs/>
          <w:lang w:eastAsia="cs-CZ"/>
        </w:rPr>
        <w:t>i</w:t>
      </w:r>
      <w:r w:rsidRPr="00C24829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7B12C33F" w14:textId="77777777" w:rsidR="00C770A3" w:rsidRPr="00EE2D0D" w:rsidRDefault="00C770A3" w:rsidP="00C770A3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…………………………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V ………………………… dne …………………</w:t>
      </w: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19D92ED7" w:rsidR="002408D4" w:rsidRDefault="002408D4" w:rsidP="00EE2D0D">
      <w:pPr>
        <w:spacing w:after="0" w:line="276" w:lineRule="auto"/>
        <w:rPr>
          <w:rFonts w:ascii="Verdana" w:hAnsi="Verdana"/>
        </w:rPr>
      </w:pPr>
    </w:p>
    <w:p w14:paraId="3BE6B7C3" w14:textId="2687369F" w:rsidR="00C770A3" w:rsidRDefault="00C770A3" w:rsidP="00EE2D0D">
      <w:pPr>
        <w:spacing w:after="0" w:line="276" w:lineRule="auto"/>
        <w:rPr>
          <w:rFonts w:ascii="Verdana" w:hAnsi="Verdana"/>
        </w:rPr>
      </w:pPr>
    </w:p>
    <w:p w14:paraId="2C4726F6" w14:textId="77777777" w:rsidR="00F36A9A" w:rsidRDefault="00F36A9A" w:rsidP="00EE2D0D">
      <w:pPr>
        <w:spacing w:after="0" w:line="276" w:lineRule="auto"/>
        <w:rPr>
          <w:rFonts w:ascii="Verdana" w:hAnsi="Verdana"/>
        </w:rPr>
      </w:pPr>
    </w:p>
    <w:p w14:paraId="1BC9DB80" w14:textId="77777777" w:rsidR="00C770A3" w:rsidRPr="00EE2D0D" w:rsidRDefault="00C770A3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48D7BD3A" w:rsidR="00D9782E" w:rsidRDefault="00C0515C" w:rsidP="009756AA">
      <w:pPr>
        <w:spacing w:after="0" w:line="276" w:lineRule="auto"/>
        <w:rPr>
          <w:rFonts w:ascii="Verdana" w:hAnsi="Verdana"/>
          <w:noProof/>
          <w:highlight w:val="green"/>
        </w:rPr>
      </w:pPr>
      <w:r w:rsidRPr="00C0515C">
        <w:rPr>
          <w:rFonts w:ascii="Verdana" w:hAnsi="Verdana"/>
          <w:b/>
          <w:noProof/>
        </w:rPr>
        <w:t>Bc. Jiří Svoboda, MBA</w:t>
      </w:r>
      <w:r w:rsidRPr="00C0515C">
        <w:rPr>
          <w:rFonts w:ascii="Verdana" w:hAnsi="Verdana"/>
          <w:b/>
          <w:noProof/>
        </w:rPr>
        <w:tab/>
      </w:r>
      <w:r w:rsidR="00613238" w:rsidRPr="00C0515C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178323E1" w14:textId="200910B0" w:rsidR="00C0515C" w:rsidRPr="009756AA" w:rsidRDefault="00C0515C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generální ředitel</w:t>
      </w:r>
    </w:p>
    <w:sectPr w:rsidR="00C0515C" w:rsidRPr="009756AA" w:rsidSect="000645D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BC7CD" w14:textId="77777777" w:rsidR="00CD10E7" w:rsidRDefault="00CD10E7" w:rsidP="00962258">
      <w:pPr>
        <w:spacing w:after="0" w:line="240" w:lineRule="auto"/>
      </w:pPr>
      <w:r>
        <w:separator/>
      </w:r>
    </w:p>
  </w:endnote>
  <w:endnote w:type="continuationSeparator" w:id="0">
    <w:p w14:paraId="66395E41" w14:textId="77777777" w:rsidR="00CD10E7" w:rsidRDefault="00CD10E7" w:rsidP="00962258">
      <w:pPr>
        <w:spacing w:after="0" w:line="240" w:lineRule="auto"/>
      </w:pPr>
      <w:r>
        <w:continuationSeparator/>
      </w:r>
    </w:p>
  </w:endnote>
  <w:endnote w:type="continuationNotice" w:id="1">
    <w:p w14:paraId="10EDC61C" w14:textId="77777777" w:rsidR="00CD10E7" w:rsidRDefault="00CD10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EF71C" w14:textId="77777777" w:rsidR="00CD10E7" w:rsidRDefault="00CD10E7" w:rsidP="00962258">
      <w:pPr>
        <w:spacing w:after="0" w:line="240" w:lineRule="auto"/>
      </w:pPr>
      <w:r>
        <w:separator/>
      </w:r>
    </w:p>
  </w:footnote>
  <w:footnote w:type="continuationSeparator" w:id="0">
    <w:p w14:paraId="44BEE18D" w14:textId="77777777" w:rsidR="00CD10E7" w:rsidRDefault="00CD10E7" w:rsidP="00962258">
      <w:pPr>
        <w:spacing w:after="0" w:line="240" w:lineRule="auto"/>
      </w:pPr>
      <w:r>
        <w:continuationSeparator/>
      </w:r>
    </w:p>
  </w:footnote>
  <w:footnote w:type="continuationNotice" w:id="1">
    <w:p w14:paraId="48A1D898" w14:textId="77777777" w:rsidR="00CD10E7" w:rsidRDefault="00CD10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7CEB8" w14:textId="1B21F45B" w:rsidR="007E4AA1" w:rsidRDefault="007E4AA1">
    <w:r>
      <w:rPr>
        <w:noProof/>
      </w:rPr>
      <w:t xml:space="preserve">                                                                                                      </w:t>
    </w:r>
    <w:r>
      <w:rPr>
        <w:noProof/>
      </w:rPr>
      <w:drawing>
        <wp:inline distT="0" distB="0" distL="0" distR="0" wp14:anchorId="123EF0F6" wp14:editId="13AED467">
          <wp:extent cx="1280160" cy="718820"/>
          <wp:effectExtent l="0" t="0" r="0" b="5080"/>
          <wp:docPr id="27" name="Obrázek 27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613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072"/>
      <w:gridCol w:w="5698"/>
    </w:tblGrid>
    <w:tr w:rsidR="00FB3BC4" w14:paraId="2ECB6F9F" w14:textId="77777777" w:rsidTr="007E4AA1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072" w:type="dxa"/>
          <w:shd w:val="clear" w:color="auto" w:fill="auto"/>
          <w:tcMar>
            <w:left w:w="0" w:type="dxa"/>
            <w:right w:w="0" w:type="dxa"/>
          </w:tcMar>
        </w:tcPr>
        <w:p w14:paraId="52E3A33C" w14:textId="674C5D26" w:rsidR="007E4AA1" w:rsidRDefault="007E4AA1" w:rsidP="00FC6389">
          <w:pPr>
            <w:pStyle w:val="Zpat"/>
            <w:rPr>
              <w:noProof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3872" behindDoc="0" locked="0" layoutInCell="1" allowOverlap="1" wp14:anchorId="542CDC87" wp14:editId="45846F4A">
                <wp:simplePos x="0" y="0"/>
                <wp:positionH relativeFrom="column">
                  <wp:posOffset>4267200</wp:posOffset>
                </wp:positionH>
                <wp:positionV relativeFrom="paragraph">
                  <wp:posOffset>-125095</wp:posOffset>
                </wp:positionV>
                <wp:extent cx="1112400" cy="640800"/>
                <wp:effectExtent l="0" t="0" r="0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-barva.g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4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t xml:space="preserve">                                                                                                                                                        </w:t>
          </w:r>
          <w:r>
            <w:rPr>
              <w:noProof/>
              <w:lang w:eastAsia="cs-CZ"/>
            </w:rPr>
            <w:t xml:space="preserve">  </w:t>
          </w:r>
          <w:r>
            <w:rPr>
              <w:noProof/>
            </w:rPr>
            <w:t xml:space="preserve">                       </w:t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0" layoutInCell="1" allowOverlap="1" wp14:anchorId="2100DC24" wp14:editId="390A1D95">
                <wp:simplePos x="0" y="0"/>
                <wp:positionH relativeFrom="column">
                  <wp:posOffset>0</wp:posOffset>
                </wp:positionH>
                <wp:positionV relativeFrom="page">
                  <wp:posOffset>728345</wp:posOffset>
                </wp:positionV>
                <wp:extent cx="1111885" cy="640715"/>
                <wp:effectExtent l="0" t="0" r="0" b="6985"/>
                <wp:wrapSquare wrapText="bothSides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barva.g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188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6EC61EB4" w14:textId="77777777" w:rsidR="007E4AA1" w:rsidRDefault="007E4AA1" w:rsidP="00FC6389">
          <w:pPr>
            <w:pStyle w:val="Zpat"/>
            <w:rPr>
              <w:noProof/>
            </w:rPr>
          </w:pPr>
        </w:p>
        <w:p w14:paraId="069AA43F" w14:textId="77777777" w:rsidR="007E4AA1" w:rsidRDefault="007E4AA1" w:rsidP="00FC6389">
          <w:pPr>
            <w:pStyle w:val="Zpat"/>
            <w:rPr>
              <w:noProof/>
            </w:rPr>
          </w:pPr>
        </w:p>
        <w:p w14:paraId="131F84B6" w14:textId="4194DACC" w:rsidR="00FB3BC4" w:rsidRDefault="007E4AA1" w:rsidP="00FC6389">
          <w:pPr>
            <w:pStyle w:val="Zpat"/>
          </w:pPr>
          <w:r>
            <w:rPr>
              <w:noProof/>
            </w:rPr>
            <w:t xml:space="preserve">                                      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41CC1B08" w:rsidR="00FB3BC4" w:rsidRDefault="007E4AA1" w:rsidP="00FC6389">
    <w:pPr>
      <w:pStyle w:val="Zhlav"/>
      <w:rPr>
        <w:sz w:val="8"/>
        <w:szCs w:val="8"/>
      </w:rPr>
    </w:pPr>
    <w:r>
      <w:rPr>
        <w:sz w:val="8"/>
        <w:szCs w:val="8"/>
      </w:rPr>
      <w:t xml:space="preserve">   </w:t>
    </w:r>
  </w:p>
  <w:p w14:paraId="4340893C" w14:textId="5BC161A7" w:rsidR="007E4AA1" w:rsidRDefault="007E4AA1" w:rsidP="00FC6389">
    <w:pPr>
      <w:pStyle w:val="Zhlav"/>
      <w:rPr>
        <w:sz w:val="8"/>
        <w:szCs w:val="8"/>
      </w:rPr>
    </w:pPr>
  </w:p>
  <w:p w14:paraId="24CC376F" w14:textId="49776927" w:rsidR="007E4AA1" w:rsidRDefault="007E4AA1" w:rsidP="00FC6389">
    <w:pPr>
      <w:pStyle w:val="Zhlav"/>
      <w:rPr>
        <w:sz w:val="8"/>
        <w:szCs w:val="8"/>
      </w:rPr>
    </w:pPr>
  </w:p>
  <w:p w14:paraId="0509D01E" w14:textId="77777777" w:rsidR="007E4AA1" w:rsidRPr="00D6163D" w:rsidRDefault="007E4AA1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1C11"/>
    <w:multiLevelType w:val="hybridMultilevel"/>
    <w:tmpl w:val="1E8E919E"/>
    <w:lvl w:ilvl="0" w:tplc="4B2E94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FE56DE"/>
    <w:multiLevelType w:val="hybridMultilevel"/>
    <w:tmpl w:val="AB5EDB38"/>
    <w:lvl w:ilvl="0" w:tplc="B6347C18">
      <w:start w:val="4"/>
      <w:numFmt w:val="lowerRoman"/>
      <w:lvlText w:val="%1."/>
      <w:lvlJc w:val="right"/>
      <w:pPr>
        <w:ind w:left="20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976"/>
    <w:multiLevelType w:val="hybridMultilevel"/>
    <w:tmpl w:val="0ADAA2BA"/>
    <w:lvl w:ilvl="0" w:tplc="3FDEB468">
      <w:start w:val="1"/>
      <w:numFmt w:val="lowerLetter"/>
      <w:lvlText w:val="(%1)"/>
      <w:lvlJc w:val="left"/>
      <w:pPr>
        <w:ind w:left="1092" w:hanging="360"/>
      </w:pPr>
      <w:rPr>
        <w:rFonts w:ascii="Verdana" w:hAnsi="Verdana" w:hint="default"/>
        <w:color w:val="595959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812" w:hanging="360"/>
      </w:pPr>
    </w:lvl>
    <w:lvl w:ilvl="2" w:tplc="0405001B" w:tentative="1">
      <w:start w:val="1"/>
      <w:numFmt w:val="lowerRoman"/>
      <w:lvlText w:val="%3."/>
      <w:lvlJc w:val="right"/>
      <w:pPr>
        <w:ind w:left="2532" w:hanging="180"/>
      </w:pPr>
    </w:lvl>
    <w:lvl w:ilvl="3" w:tplc="0405000F" w:tentative="1">
      <w:start w:val="1"/>
      <w:numFmt w:val="decimal"/>
      <w:lvlText w:val="%4."/>
      <w:lvlJc w:val="left"/>
      <w:pPr>
        <w:ind w:left="3252" w:hanging="360"/>
      </w:pPr>
    </w:lvl>
    <w:lvl w:ilvl="4" w:tplc="04050019" w:tentative="1">
      <w:start w:val="1"/>
      <w:numFmt w:val="lowerLetter"/>
      <w:lvlText w:val="%5."/>
      <w:lvlJc w:val="left"/>
      <w:pPr>
        <w:ind w:left="3972" w:hanging="360"/>
      </w:pPr>
    </w:lvl>
    <w:lvl w:ilvl="5" w:tplc="0405001B" w:tentative="1">
      <w:start w:val="1"/>
      <w:numFmt w:val="lowerRoman"/>
      <w:lvlText w:val="%6."/>
      <w:lvlJc w:val="right"/>
      <w:pPr>
        <w:ind w:left="4692" w:hanging="180"/>
      </w:pPr>
    </w:lvl>
    <w:lvl w:ilvl="6" w:tplc="0405000F" w:tentative="1">
      <w:start w:val="1"/>
      <w:numFmt w:val="decimal"/>
      <w:lvlText w:val="%7."/>
      <w:lvlJc w:val="left"/>
      <w:pPr>
        <w:ind w:left="5412" w:hanging="360"/>
      </w:pPr>
    </w:lvl>
    <w:lvl w:ilvl="7" w:tplc="04050019" w:tentative="1">
      <w:start w:val="1"/>
      <w:numFmt w:val="lowerLetter"/>
      <w:lvlText w:val="%8."/>
      <w:lvlJc w:val="left"/>
      <w:pPr>
        <w:ind w:left="6132" w:hanging="360"/>
      </w:pPr>
    </w:lvl>
    <w:lvl w:ilvl="8" w:tplc="040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 w15:restartNumberingAfterBreak="0">
    <w:nsid w:val="12156633"/>
    <w:multiLevelType w:val="multilevel"/>
    <w:tmpl w:val="0A4664B6"/>
    <w:lvl w:ilvl="0">
      <w:start w:val="1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7" w15:restartNumberingAfterBreak="0">
    <w:nsid w:val="140364DB"/>
    <w:multiLevelType w:val="multilevel"/>
    <w:tmpl w:val="2132BE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</w:lvl>
    <w:lvl w:ilvl="2">
      <w:start w:val="1"/>
      <w:numFmt w:val="lowerLetter"/>
      <w:lvlText w:val="%3)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3D5BEE"/>
    <w:multiLevelType w:val="hybridMultilevel"/>
    <w:tmpl w:val="E0BC454A"/>
    <w:lvl w:ilvl="0" w:tplc="CFBC1D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C8D0043"/>
    <w:multiLevelType w:val="hybridMultilevel"/>
    <w:tmpl w:val="4508AD42"/>
    <w:lvl w:ilvl="0" w:tplc="2438B9D4">
      <w:start w:val="1"/>
      <w:numFmt w:val="lowerLetter"/>
      <w:lvlText w:val="%1)"/>
      <w:lvlJc w:val="left"/>
      <w:pPr>
        <w:tabs>
          <w:tab w:val="num" w:pos="9716"/>
        </w:tabs>
        <w:ind w:left="97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2477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C26225"/>
    <w:multiLevelType w:val="hybridMultilevel"/>
    <w:tmpl w:val="AEC09A12"/>
    <w:lvl w:ilvl="0" w:tplc="0BC83EFC">
      <w:start w:val="1"/>
      <w:numFmt w:val="decimal"/>
      <w:lvlText w:val="(%1)"/>
      <w:lvlJc w:val="left"/>
      <w:pPr>
        <w:ind w:left="732" w:hanging="372"/>
      </w:pPr>
      <w:rPr>
        <w:rFonts w:ascii="Roboto" w:hAnsi="Roboto" w:hint="default"/>
        <w:color w:val="595959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93851"/>
    <w:multiLevelType w:val="hybridMultilevel"/>
    <w:tmpl w:val="81E81614"/>
    <w:lvl w:ilvl="0" w:tplc="D5746D1C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278C5591"/>
    <w:multiLevelType w:val="hybridMultilevel"/>
    <w:tmpl w:val="E0BC454A"/>
    <w:lvl w:ilvl="0" w:tplc="CFBC1D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D2EF0"/>
    <w:multiLevelType w:val="hybridMultilevel"/>
    <w:tmpl w:val="C622891A"/>
    <w:lvl w:ilvl="0" w:tplc="33BACD8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F254A72"/>
    <w:multiLevelType w:val="multilevel"/>
    <w:tmpl w:val="D1F6651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439A8"/>
    <w:multiLevelType w:val="multilevel"/>
    <w:tmpl w:val="842049B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Segoe UI" w:hAnsi="Segoe UI" w:cs="Segoe U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egoe UI" w:hAnsi="Segoe UI" w:cs="Segoe U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2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06355"/>
    <w:multiLevelType w:val="multilevel"/>
    <w:tmpl w:val="2132BE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</w:lvl>
    <w:lvl w:ilvl="2">
      <w:start w:val="1"/>
      <w:numFmt w:val="lowerLetter"/>
      <w:lvlText w:val="%3)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EDD1EC7"/>
    <w:multiLevelType w:val="hybridMultilevel"/>
    <w:tmpl w:val="F1B2BF34"/>
    <w:lvl w:ilvl="0" w:tplc="04050005">
      <w:start w:val="1"/>
      <w:numFmt w:val="lowerRoman"/>
      <w:lvlText w:val="%1."/>
      <w:lvlJc w:val="right"/>
      <w:pPr>
        <w:ind w:left="83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A23CA"/>
    <w:multiLevelType w:val="hybridMultilevel"/>
    <w:tmpl w:val="EACE72F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B">
      <w:start w:val="1"/>
      <w:numFmt w:val="lowerRoman"/>
      <w:lvlText w:val="%2."/>
      <w:lvlJc w:val="righ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29" w15:restartNumberingAfterBreak="0">
    <w:nsid w:val="7B786E9E"/>
    <w:multiLevelType w:val="hybridMultilevel"/>
    <w:tmpl w:val="044E624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27"/>
  </w:num>
  <w:num w:numId="5">
    <w:abstractNumId w:val="18"/>
  </w:num>
  <w:num w:numId="6">
    <w:abstractNumId w:val="17"/>
  </w:num>
  <w:num w:numId="7">
    <w:abstractNumId w:val="6"/>
  </w:num>
  <w:num w:numId="8">
    <w:abstractNumId w:val="15"/>
  </w:num>
  <w:num w:numId="9">
    <w:abstractNumId w:val="14"/>
  </w:num>
  <w:num w:numId="10">
    <w:abstractNumId w:val="8"/>
  </w:num>
  <w:num w:numId="11">
    <w:abstractNumId w:val="20"/>
  </w:num>
  <w:num w:numId="12">
    <w:abstractNumId w:val="13"/>
  </w:num>
  <w:num w:numId="13">
    <w:abstractNumId w:val="24"/>
  </w:num>
  <w:num w:numId="14">
    <w:abstractNumId w:val="28"/>
  </w:num>
  <w:num w:numId="15">
    <w:abstractNumId w:val="22"/>
  </w:num>
  <w:num w:numId="16">
    <w:abstractNumId w:val="11"/>
  </w:num>
  <w:num w:numId="17">
    <w:abstractNumId w:val="0"/>
  </w:num>
  <w:num w:numId="18">
    <w:abstractNumId w:val="12"/>
  </w:num>
  <w:num w:numId="19">
    <w:abstractNumId w:val="5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3"/>
  </w:num>
  <w:num w:numId="23">
    <w:abstractNumId w:val="17"/>
  </w:num>
  <w:num w:numId="24">
    <w:abstractNumId w:val="7"/>
  </w:num>
  <w:num w:numId="25">
    <w:abstractNumId w:val="21"/>
  </w:num>
  <w:num w:numId="26">
    <w:abstractNumId w:val="17"/>
  </w:num>
  <w:num w:numId="27">
    <w:abstractNumId w:val="17"/>
  </w:num>
  <w:num w:numId="28">
    <w:abstractNumId w:val="17"/>
  </w:num>
  <w:num w:numId="29">
    <w:abstractNumId w:val="25"/>
  </w:num>
  <w:num w:numId="30">
    <w:abstractNumId w:val="26"/>
  </w:num>
  <w:num w:numId="31">
    <w:abstractNumId w:val="2"/>
  </w:num>
  <w:num w:numId="32">
    <w:abstractNumId w:val="19"/>
  </w:num>
  <w:num w:numId="33">
    <w:abstractNumId w:val="17"/>
  </w:num>
  <w:num w:numId="34">
    <w:abstractNumId w:val="17"/>
  </w:num>
  <w:num w:numId="35">
    <w:abstractNumId w:val="17"/>
  </w:num>
  <w:num w:numId="36">
    <w:abstractNumId w:val="29"/>
  </w:num>
  <w:num w:numId="37">
    <w:abstractNumId w:val="1"/>
  </w:num>
  <w:num w:numId="38">
    <w:abstractNumId w:val="9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4"/>
  </w:num>
  <w:num w:numId="44">
    <w:abstractNumId w:val="17"/>
  </w:num>
  <w:num w:numId="45">
    <w:abstractNumId w:val="17"/>
  </w:num>
  <w:num w:numId="4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2DB9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2FC2"/>
    <w:rsid w:val="0002429F"/>
    <w:rsid w:val="000243A6"/>
    <w:rsid w:val="000316DF"/>
    <w:rsid w:val="00031A31"/>
    <w:rsid w:val="000328D1"/>
    <w:rsid w:val="000358AF"/>
    <w:rsid w:val="00035B55"/>
    <w:rsid w:val="00035EFE"/>
    <w:rsid w:val="00036752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55C"/>
    <w:rsid w:val="000B0F9D"/>
    <w:rsid w:val="000B151D"/>
    <w:rsid w:val="000B176F"/>
    <w:rsid w:val="000B25B4"/>
    <w:rsid w:val="000B2A2E"/>
    <w:rsid w:val="000B2AA3"/>
    <w:rsid w:val="000B324A"/>
    <w:rsid w:val="000B345A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540F"/>
    <w:rsid w:val="000D67FF"/>
    <w:rsid w:val="000D78FC"/>
    <w:rsid w:val="000E13E4"/>
    <w:rsid w:val="000E23A7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79F2"/>
    <w:rsid w:val="001208D6"/>
    <w:rsid w:val="001242EB"/>
    <w:rsid w:val="00127C49"/>
    <w:rsid w:val="0013075F"/>
    <w:rsid w:val="00131AA3"/>
    <w:rsid w:val="0013379C"/>
    <w:rsid w:val="001337BF"/>
    <w:rsid w:val="00135E59"/>
    <w:rsid w:val="001407EB"/>
    <w:rsid w:val="0014306E"/>
    <w:rsid w:val="001435FD"/>
    <w:rsid w:val="00143794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578"/>
    <w:rsid w:val="00164B96"/>
    <w:rsid w:val="00164E45"/>
    <w:rsid w:val="00164EED"/>
    <w:rsid w:val="001656E0"/>
    <w:rsid w:val="0016681A"/>
    <w:rsid w:val="00167DFA"/>
    <w:rsid w:val="00170EC5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5BAD"/>
    <w:rsid w:val="001A0031"/>
    <w:rsid w:val="001A1F56"/>
    <w:rsid w:val="001A41B7"/>
    <w:rsid w:val="001A4F1F"/>
    <w:rsid w:val="001A6752"/>
    <w:rsid w:val="001A6ADA"/>
    <w:rsid w:val="001A70EB"/>
    <w:rsid w:val="001B01E7"/>
    <w:rsid w:val="001B1817"/>
    <w:rsid w:val="001B24F7"/>
    <w:rsid w:val="001B5B5B"/>
    <w:rsid w:val="001B7767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7E6C"/>
    <w:rsid w:val="0022130F"/>
    <w:rsid w:val="00221433"/>
    <w:rsid w:val="00221A46"/>
    <w:rsid w:val="00221B4E"/>
    <w:rsid w:val="00223366"/>
    <w:rsid w:val="00227506"/>
    <w:rsid w:val="00230104"/>
    <w:rsid w:val="00230D1E"/>
    <w:rsid w:val="002313EA"/>
    <w:rsid w:val="00232D4A"/>
    <w:rsid w:val="0023357A"/>
    <w:rsid w:val="0023403E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248D"/>
    <w:rsid w:val="00273D6D"/>
    <w:rsid w:val="00274953"/>
    <w:rsid w:val="00275474"/>
    <w:rsid w:val="00275593"/>
    <w:rsid w:val="0027770E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A591C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3EFE"/>
    <w:rsid w:val="00335690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4F82"/>
    <w:rsid w:val="00365BFD"/>
    <w:rsid w:val="00370FAC"/>
    <w:rsid w:val="00372378"/>
    <w:rsid w:val="0037278F"/>
    <w:rsid w:val="00374036"/>
    <w:rsid w:val="003744CC"/>
    <w:rsid w:val="00374700"/>
    <w:rsid w:val="003764D5"/>
    <w:rsid w:val="00380115"/>
    <w:rsid w:val="00380609"/>
    <w:rsid w:val="0038088E"/>
    <w:rsid w:val="00383D76"/>
    <w:rsid w:val="003841F8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9EC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6C70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5B8C"/>
    <w:rsid w:val="003E6C4C"/>
    <w:rsid w:val="003E7EA4"/>
    <w:rsid w:val="003F069A"/>
    <w:rsid w:val="003F20D8"/>
    <w:rsid w:val="003F3000"/>
    <w:rsid w:val="003F3EF5"/>
    <w:rsid w:val="003F7DE6"/>
    <w:rsid w:val="00400064"/>
    <w:rsid w:val="00401303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1272"/>
    <w:rsid w:val="00422370"/>
    <w:rsid w:val="0042314E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3374"/>
    <w:rsid w:val="00453CD3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B23"/>
    <w:rsid w:val="00470180"/>
    <w:rsid w:val="00470B02"/>
    <w:rsid w:val="00470B1E"/>
    <w:rsid w:val="0047161E"/>
    <w:rsid w:val="00474589"/>
    <w:rsid w:val="0047677B"/>
    <w:rsid w:val="00476E08"/>
    <w:rsid w:val="00480B6A"/>
    <w:rsid w:val="00481EE9"/>
    <w:rsid w:val="00484395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63E0"/>
    <w:rsid w:val="004C1537"/>
    <w:rsid w:val="004C4399"/>
    <w:rsid w:val="004C7094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5D74"/>
    <w:rsid w:val="004E67C2"/>
    <w:rsid w:val="004F0B05"/>
    <w:rsid w:val="004F116A"/>
    <w:rsid w:val="004F11F6"/>
    <w:rsid w:val="004F2336"/>
    <w:rsid w:val="004F4B9B"/>
    <w:rsid w:val="004F7D8B"/>
    <w:rsid w:val="0050133A"/>
    <w:rsid w:val="00501A4A"/>
    <w:rsid w:val="0050268C"/>
    <w:rsid w:val="0050394F"/>
    <w:rsid w:val="00506DA3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0D3"/>
    <w:rsid w:val="00553375"/>
    <w:rsid w:val="0055506C"/>
    <w:rsid w:val="00556136"/>
    <w:rsid w:val="005563CA"/>
    <w:rsid w:val="00561F78"/>
    <w:rsid w:val="005627F3"/>
    <w:rsid w:val="00563A18"/>
    <w:rsid w:val="0056516D"/>
    <w:rsid w:val="00566AB9"/>
    <w:rsid w:val="00567A0F"/>
    <w:rsid w:val="005708B3"/>
    <w:rsid w:val="0057181D"/>
    <w:rsid w:val="00572123"/>
    <w:rsid w:val="00572F49"/>
    <w:rsid w:val="005736B7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2225"/>
    <w:rsid w:val="005B39F7"/>
    <w:rsid w:val="005B5985"/>
    <w:rsid w:val="005B76DD"/>
    <w:rsid w:val="005B7DB9"/>
    <w:rsid w:val="005C0645"/>
    <w:rsid w:val="005C3BA3"/>
    <w:rsid w:val="005C4583"/>
    <w:rsid w:val="005C5802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7E3"/>
    <w:rsid w:val="005E7CE5"/>
    <w:rsid w:val="005F09A7"/>
    <w:rsid w:val="005F0A47"/>
    <w:rsid w:val="005F1404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655E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280"/>
    <w:rsid w:val="00657984"/>
    <w:rsid w:val="00657A66"/>
    <w:rsid w:val="006602DB"/>
    <w:rsid w:val="00660AD3"/>
    <w:rsid w:val="00661783"/>
    <w:rsid w:val="00662470"/>
    <w:rsid w:val="006630EF"/>
    <w:rsid w:val="00667E73"/>
    <w:rsid w:val="00672F58"/>
    <w:rsid w:val="00673A6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729F"/>
    <w:rsid w:val="006A0B3D"/>
    <w:rsid w:val="006A1B23"/>
    <w:rsid w:val="006A2758"/>
    <w:rsid w:val="006A30F8"/>
    <w:rsid w:val="006A31E6"/>
    <w:rsid w:val="006A3F9E"/>
    <w:rsid w:val="006A5570"/>
    <w:rsid w:val="006A689C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DFB"/>
    <w:rsid w:val="00723B7D"/>
    <w:rsid w:val="00723ED1"/>
    <w:rsid w:val="007254A8"/>
    <w:rsid w:val="00725720"/>
    <w:rsid w:val="00727ADE"/>
    <w:rsid w:val="00727BD9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3C93"/>
    <w:rsid w:val="00764E92"/>
    <w:rsid w:val="00765625"/>
    <w:rsid w:val="00766846"/>
    <w:rsid w:val="00770962"/>
    <w:rsid w:val="00771FF0"/>
    <w:rsid w:val="00773860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A27"/>
    <w:rsid w:val="00797B41"/>
    <w:rsid w:val="007A0C04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517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17FF"/>
    <w:rsid w:val="007E2F42"/>
    <w:rsid w:val="007E4A6E"/>
    <w:rsid w:val="007E4AA1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31044"/>
    <w:rsid w:val="00833299"/>
    <w:rsid w:val="00835B62"/>
    <w:rsid w:val="008416F1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6114C"/>
    <w:rsid w:val="008625FD"/>
    <w:rsid w:val="0086396B"/>
    <w:rsid w:val="00864282"/>
    <w:rsid w:val="008659F3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71C7"/>
    <w:rsid w:val="008D01EC"/>
    <w:rsid w:val="008D03B9"/>
    <w:rsid w:val="008D1DC8"/>
    <w:rsid w:val="008D2D5A"/>
    <w:rsid w:val="008D580C"/>
    <w:rsid w:val="008E0EE7"/>
    <w:rsid w:val="008E1E86"/>
    <w:rsid w:val="008E38DC"/>
    <w:rsid w:val="008E67E9"/>
    <w:rsid w:val="008E75D0"/>
    <w:rsid w:val="008E7C11"/>
    <w:rsid w:val="008F18D6"/>
    <w:rsid w:val="008F1BF2"/>
    <w:rsid w:val="008F26B8"/>
    <w:rsid w:val="008F37B4"/>
    <w:rsid w:val="008F5EB4"/>
    <w:rsid w:val="008F797C"/>
    <w:rsid w:val="008F7D14"/>
    <w:rsid w:val="008F7DFE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6091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6471"/>
    <w:rsid w:val="00A015BF"/>
    <w:rsid w:val="00A01B26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1F5F"/>
    <w:rsid w:val="00A93145"/>
    <w:rsid w:val="00A9683A"/>
    <w:rsid w:val="00A97E74"/>
    <w:rsid w:val="00AA303A"/>
    <w:rsid w:val="00AA3D0A"/>
    <w:rsid w:val="00AA4910"/>
    <w:rsid w:val="00AA4C0C"/>
    <w:rsid w:val="00AA4CBB"/>
    <w:rsid w:val="00AA5F37"/>
    <w:rsid w:val="00AA65FA"/>
    <w:rsid w:val="00AA6B12"/>
    <w:rsid w:val="00AA7351"/>
    <w:rsid w:val="00AB566B"/>
    <w:rsid w:val="00AB5C15"/>
    <w:rsid w:val="00AB5CAC"/>
    <w:rsid w:val="00AB6759"/>
    <w:rsid w:val="00AB7F66"/>
    <w:rsid w:val="00AC00DC"/>
    <w:rsid w:val="00AC2AF5"/>
    <w:rsid w:val="00AC4133"/>
    <w:rsid w:val="00AC5D8F"/>
    <w:rsid w:val="00AD056F"/>
    <w:rsid w:val="00AD199B"/>
    <w:rsid w:val="00AD45D1"/>
    <w:rsid w:val="00AD4961"/>
    <w:rsid w:val="00AD5895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3385"/>
    <w:rsid w:val="00AF572D"/>
    <w:rsid w:val="00B01B81"/>
    <w:rsid w:val="00B01DB5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EC3"/>
    <w:rsid w:val="00B15152"/>
    <w:rsid w:val="00B15D0D"/>
    <w:rsid w:val="00B17679"/>
    <w:rsid w:val="00B20AA7"/>
    <w:rsid w:val="00B23BAD"/>
    <w:rsid w:val="00B243A1"/>
    <w:rsid w:val="00B25997"/>
    <w:rsid w:val="00B27209"/>
    <w:rsid w:val="00B30A0F"/>
    <w:rsid w:val="00B339D6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D0A"/>
    <w:rsid w:val="00C03A6E"/>
    <w:rsid w:val="00C0426C"/>
    <w:rsid w:val="00C04944"/>
    <w:rsid w:val="00C04FE5"/>
    <w:rsid w:val="00C0515C"/>
    <w:rsid w:val="00C05A92"/>
    <w:rsid w:val="00C05F86"/>
    <w:rsid w:val="00C06FC8"/>
    <w:rsid w:val="00C076EF"/>
    <w:rsid w:val="00C07ED4"/>
    <w:rsid w:val="00C1357B"/>
    <w:rsid w:val="00C160CC"/>
    <w:rsid w:val="00C16CEA"/>
    <w:rsid w:val="00C175A1"/>
    <w:rsid w:val="00C22949"/>
    <w:rsid w:val="00C24829"/>
    <w:rsid w:val="00C25E46"/>
    <w:rsid w:val="00C26008"/>
    <w:rsid w:val="00C266EA"/>
    <w:rsid w:val="00C26D77"/>
    <w:rsid w:val="00C34264"/>
    <w:rsid w:val="00C3499A"/>
    <w:rsid w:val="00C35AE5"/>
    <w:rsid w:val="00C372E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3B82"/>
    <w:rsid w:val="00C7435D"/>
    <w:rsid w:val="00C76112"/>
    <w:rsid w:val="00C76A19"/>
    <w:rsid w:val="00C770A3"/>
    <w:rsid w:val="00C77CB3"/>
    <w:rsid w:val="00C82BA2"/>
    <w:rsid w:val="00C83AEE"/>
    <w:rsid w:val="00C84799"/>
    <w:rsid w:val="00C852CA"/>
    <w:rsid w:val="00C85C5B"/>
    <w:rsid w:val="00C90BB4"/>
    <w:rsid w:val="00C91551"/>
    <w:rsid w:val="00C9245E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0E7"/>
    <w:rsid w:val="00CD1A07"/>
    <w:rsid w:val="00CD1FC4"/>
    <w:rsid w:val="00CD2261"/>
    <w:rsid w:val="00CD22C8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1061"/>
    <w:rsid w:val="00D21617"/>
    <w:rsid w:val="00D21B35"/>
    <w:rsid w:val="00D22516"/>
    <w:rsid w:val="00D270C2"/>
    <w:rsid w:val="00D270C4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49AC"/>
    <w:rsid w:val="00D6579C"/>
    <w:rsid w:val="00D657AD"/>
    <w:rsid w:val="00D7096F"/>
    <w:rsid w:val="00D7108F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B04B5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31E4"/>
    <w:rsid w:val="00E250E1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689"/>
    <w:rsid w:val="00E55F3F"/>
    <w:rsid w:val="00E56242"/>
    <w:rsid w:val="00E62544"/>
    <w:rsid w:val="00E62C1F"/>
    <w:rsid w:val="00E63341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4270"/>
    <w:rsid w:val="00E94621"/>
    <w:rsid w:val="00EA073F"/>
    <w:rsid w:val="00EA3D08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264"/>
    <w:rsid w:val="00EB6613"/>
    <w:rsid w:val="00EB7BF5"/>
    <w:rsid w:val="00EC0101"/>
    <w:rsid w:val="00EC3641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5939"/>
    <w:rsid w:val="00F36A9A"/>
    <w:rsid w:val="00F36B65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60F94"/>
    <w:rsid w:val="00F619A6"/>
    <w:rsid w:val="00F659EB"/>
    <w:rsid w:val="00F66A04"/>
    <w:rsid w:val="00F72CC7"/>
    <w:rsid w:val="00F73457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44D2"/>
    <w:rsid w:val="00F969C4"/>
    <w:rsid w:val="00FA0A5B"/>
    <w:rsid w:val="00FA112A"/>
    <w:rsid w:val="00FA32F8"/>
    <w:rsid w:val="00FA34E0"/>
    <w:rsid w:val="00FA61E6"/>
    <w:rsid w:val="00FA71D2"/>
    <w:rsid w:val="00FA7F09"/>
    <w:rsid w:val="00FB0FC2"/>
    <w:rsid w:val="00FB133D"/>
    <w:rsid w:val="00FB3BC4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492D"/>
    <w:rsid w:val="00FF624B"/>
    <w:rsid w:val="01376915"/>
    <w:rsid w:val="08A157F6"/>
    <w:rsid w:val="1B04B83A"/>
    <w:rsid w:val="24DB184C"/>
    <w:rsid w:val="25C1610D"/>
    <w:rsid w:val="2E31C0C9"/>
    <w:rsid w:val="2F65CB9A"/>
    <w:rsid w:val="3846CE42"/>
    <w:rsid w:val="3B8AEF16"/>
    <w:rsid w:val="3B981D8B"/>
    <w:rsid w:val="3D045368"/>
    <w:rsid w:val="3E1BF8E8"/>
    <w:rsid w:val="4D561193"/>
    <w:rsid w:val="4D589A9E"/>
    <w:rsid w:val="537C0015"/>
    <w:rsid w:val="5489BAA8"/>
    <w:rsid w:val="56F5BF31"/>
    <w:rsid w:val="583CDF3A"/>
    <w:rsid w:val="5F7D2600"/>
    <w:rsid w:val="62A88DB8"/>
    <w:rsid w:val="67EDB239"/>
    <w:rsid w:val="6C28E925"/>
    <w:rsid w:val="6DC4B986"/>
    <w:rsid w:val="73682772"/>
    <w:rsid w:val="7532DD33"/>
    <w:rsid w:val="763D9C79"/>
    <w:rsid w:val="791CE687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1E92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1E92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11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25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25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25"/>
      </w:numPr>
      <w:overflowPunct/>
      <w:autoSpaceDE/>
      <w:autoSpaceDN/>
      <w:adjustRightInd/>
      <w:spacing w:before="200"/>
      <w:contextualSpacing w:val="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PodatelnaCFU@spravazeleznic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5469</Words>
  <Characters>32269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2023-01-26T11:20:00Z</dcterms:created>
  <dcterms:modified xsi:type="dcterms:W3CDTF">2023-01-26T11:34:00Z</dcterms:modified>
</cp:coreProperties>
</file>